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0680B216"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20459">
        <w:t>Elmwood Infant and Nursery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D617A78" w:rsidR="002940F3" w:rsidRDefault="00156122" w:rsidP="00C31636">
            <w:pPr>
              <w:pStyle w:val="TableRow"/>
              <w:ind w:left="0" w:right="0"/>
            </w:pPr>
            <w:r>
              <w:t>363</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4930B59" w:rsidR="002940F3" w:rsidRDefault="00156122" w:rsidP="00C31636">
            <w:pPr>
              <w:pStyle w:val="TableRow"/>
              <w:ind w:left="0" w:right="0"/>
            </w:pPr>
            <w:r>
              <w:t>29%</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A7B062B" w:rsidR="002940F3" w:rsidRDefault="00156122"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B3E83D1" w:rsidR="002940F3" w:rsidRDefault="009A7519"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75E4FAA" w:rsidR="002940F3" w:rsidRDefault="00790EBE" w:rsidP="00C31636">
            <w:pPr>
              <w:pStyle w:val="TableRow"/>
              <w:ind w:left="0" w:right="0"/>
            </w:pPr>
            <w:r>
              <w:t>October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8161274" w:rsidR="002940F3" w:rsidRDefault="009A7519" w:rsidP="00C31636">
            <w:pPr>
              <w:pStyle w:val="TableRow"/>
              <w:ind w:left="0" w:right="0"/>
            </w:pPr>
            <w:r>
              <w:t>Esther Payne</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72ED5D8" w:rsidR="002940F3" w:rsidRDefault="00441F2B" w:rsidP="00C31636">
            <w:pPr>
              <w:pStyle w:val="TableRow"/>
              <w:ind w:left="0" w:right="0"/>
            </w:pPr>
            <w:r>
              <w:t>Esther Payne / Kerry Good</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59B11CC7" w:rsidR="002940F3" w:rsidRDefault="002940F3" w:rsidP="00C31636">
            <w:pPr>
              <w:pStyle w:val="TableRow"/>
              <w:ind w:left="0" w:right="0"/>
            </w:pPr>
            <w:r>
              <w:t xml:space="preserve">Governor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F5A6AD" w:rsidR="002940F3" w:rsidRDefault="009A7519" w:rsidP="00C31636">
            <w:pPr>
              <w:pStyle w:val="TableRow"/>
              <w:ind w:left="0" w:right="0"/>
            </w:pPr>
            <w:r>
              <w:t xml:space="preserve">Charlie </w:t>
            </w:r>
            <w:proofErr w:type="spellStart"/>
            <w:r>
              <w:t>Defty</w:t>
            </w:r>
            <w:proofErr w:type="spellEnd"/>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C230CE4" w:rsidR="00E66558" w:rsidRDefault="009D71E8" w:rsidP="00C31636">
            <w:pPr>
              <w:pStyle w:val="TableRow"/>
              <w:ind w:left="0" w:right="0"/>
            </w:pPr>
            <w:r>
              <w:t>£</w:t>
            </w:r>
            <w:r w:rsidR="00441F2B">
              <w:t>174,619</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7B24F95" w:rsidR="00E66558" w:rsidRDefault="009D71E8" w:rsidP="00C31636">
            <w:pPr>
              <w:pStyle w:val="TableRow"/>
              <w:ind w:left="0" w:right="0"/>
            </w:pPr>
            <w:r>
              <w:t>£</w:t>
            </w:r>
            <w:r w:rsidR="00441F2B">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1091FB2" w:rsidR="00E66558" w:rsidRDefault="009D71E8" w:rsidP="00C31636">
            <w:pPr>
              <w:pStyle w:val="TableRow"/>
              <w:ind w:left="0" w:right="0"/>
            </w:pPr>
            <w:r>
              <w:t>£</w:t>
            </w:r>
            <w:r w:rsidR="00441F2B">
              <w:t>174</w:t>
            </w:r>
            <w:r w:rsidR="00790EBE">
              <w:t>,</w:t>
            </w:r>
            <w:r w:rsidR="00441F2B">
              <w:t>619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89B7E" w14:textId="21995763" w:rsidR="00301BF4" w:rsidRDefault="00156122" w:rsidP="00156122">
            <w:pPr>
              <w:rPr>
                <w:i/>
                <w:iCs/>
              </w:rPr>
            </w:pPr>
            <w:r>
              <w:rPr>
                <w:i/>
                <w:iCs/>
              </w:rPr>
              <w:t>At Elmwood Infant and Nursery School our</w:t>
            </w:r>
            <w:r w:rsidR="00301BF4" w:rsidRPr="00156122">
              <w:rPr>
                <w:i/>
                <w:iCs/>
              </w:rPr>
              <w:t xml:space="preserve"> intention is that all pupils, regardless of their background or the challenges they face, make strong progress and achieve high attainment across all subjects. The focus of our Pupil Premium strategy is to support disadvantaged pupils to achieve this goal, including those who are already high attainers.</w:t>
            </w:r>
          </w:p>
          <w:p w14:paraId="411E8096" w14:textId="25BF84AC" w:rsidR="00156122" w:rsidRPr="00156122" w:rsidRDefault="007702A8" w:rsidP="00156122">
            <w:pPr>
              <w:rPr>
                <w:i/>
                <w:iCs/>
              </w:rPr>
            </w:pPr>
            <w:r w:rsidRPr="007702A8">
              <w:rPr>
                <w:i/>
                <w:iCs/>
              </w:rPr>
              <w:t xml:space="preserve">As a diverse and multicultural </w:t>
            </w:r>
            <w:r w:rsidR="00ED11C9">
              <w:rPr>
                <w:i/>
                <w:iCs/>
              </w:rPr>
              <w:t>I</w:t>
            </w:r>
            <w:r w:rsidRPr="007702A8">
              <w:rPr>
                <w:i/>
                <w:iCs/>
              </w:rPr>
              <w:t xml:space="preserve">nfant </w:t>
            </w:r>
            <w:r w:rsidR="00ED11C9">
              <w:rPr>
                <w:i/>
                <w:iCs/>
              </w:rPr>
              <w:t xml:space="preserve">and Nursery </w:t>
            </w:r>
            <w:r w:rsidRPr="007702A8">
              <w:rPr>
                <w:i/>
                <w:iCs/>
              </w:rPr>
              <w:t>school, we value every young child, recognising and nurturing their individual strengths. We aim to spark curiosity and a love of learning from the very beginning, while placing a strong emphasis on their personal development, wellbeing, and early confidence.</w:t>
            </w:r>
          </w:p>
          <w:p w14:paraId="423A5A64" w14:textId="217FB88A" w:rsidR="007702A8" w:rsidRDefault="00301BF4" w:rsidP="00156122">
            <w:pPr>
              <w:rPr>
                <w:i/>
                <w:iCs/>
              </w:rPr>
            </w:pPr>
            <w:r w:rsidRPr="00156122">
              <w:rPr>
                <w:i/>
                <w:iCs/>
              </w:rPr>
              <w:t xml:space="preserve">We recognise </w:t>
            </w:r>
            <w:r w:rsidR="00ED11C9">
              <w:rPr>
                <w:i/>
                <w:iCs/>
              </w:rPr>
              <w:t>that disadvantaged children can face a wide range of barriers which may impact on their learning. Some of these barriers may include:</w:t>
            </w:r>
          </w:p>
          <w:p w14:paraId="0262FFA2" w14:textId="359D6FC3" w:rsidR="007702A8" w:rsidRDefault="007702A8" w:rsidP="007702A8">
            <w:pPr>
              <w:pStyle w:val="ListParagraph"/>
              <w:numPr>
                <w:ilvl w:val="0"/>
                <w:numId w:val="18"/>
              </w:numPr>
              <w:rPr>
                <w:i/>
                <w:iCs/>
              </w:rPr>
            </w:pPr>
            <w:r>
              <w:rPr>
                <w:i/>
                <w:iCs/>
              </w:rPr>
              <w:t>Housing challenges (overcrowding, damp, temporary accommodation)</w:t>
            </w:r>
          </w:p>
          <w:p w14:paraId="2DEEB6AE" w14:textId="3A79FAD2" w:rsidR="007702A8" w:rsidRDefault="007702A8" w:rsidP="007702A8">
            <w:pPr>
              <w:pStyle w:val="ListParagraph"/>
              <w:numPr>
                <w:ilvl w:val="0"/>
                <w:numId w:val="18"/>
              </w:numPr>
              <w:rPr>
                <w:i/>
                <w:iCs/>
              </w:rPr>
            </w:pPr>
            <w:r>
              <w:rPr>
                <w:i/>
                <w:iCs/>
              </w:rPr>
              <w:t>Language and communication difficulties</w:t>
            </w:r>
          </w:p>
          <w:p w14:paraId="74982E17" w14:textId="49355D0E" w:rsidR="007702A8" w:rsidRDefault="007702A8" w:rsidP="007702A8">
            <w:pPr>
              <w:pStyle w:val="ListParagraph"/>
              <w:numPr>
                <w:ilvl w:val="0"/>
                <w:numId w:val="18"/>
              </w:numPr>
              <w:rPr>
                <w:i/>
                <w:iCs/>
              </w:rPr>
            </w:pPr>
            <w:r>
              <w:rPr>
                <w:i/>
                <w:iCs/>
              </w:rPr>
              <w:t>Attendance and punctuality problems</w:t>
            </w:r>
          </w:p>
          <w:p w14:paraId="1F3FC1FF" w14:textId="0569CC29" w:rsidR="007702A8" w:rsidRDefault="007702A8" w:rsidP="007702A8">
            <w:pPr>
              <w:pStyle w:val="ListParagraph"/>
              <w:numPr>
                <w:ilvl w:val="0"/>
                <w:numId w:val="18"/>
              </w:numPr>
              <w:rPr>
                <w:i/>
                <w:iCs/>
              </w:rPr>
            </w:pPr>
            <w:r>
              <w:rPr>
                <w:i/>
                <w:iCs/>
              </w:rPr>
              <w:t>Limited access to resources – books, learning materials, technology</w:t>
            </w:r>
          </w:p>
          <w:p w14:paraId="46C9FBB7" w14:textId="5C6D6BFF" w:rsidR="007702A8" w:rsidRDefault="007702A8" w:rsidP="007702A8">
            <w:pPr>
              <w:pStyle w:val="ListParagraph"/>
              <w:numPr>
                <w:ilvl w:val="0"/>
                <w:numId w:val="18"/>
              </w:numPr>
              <w:rPr>
                <w:i/>
                <w:iCs/>
              </w:rPr>
            </w:pPr>
            <w:r>
              <w:rPr>
                <w:i/>
                <w:iCs/>
              </w:rPr>
              <w:t>Parental stress</w:t>
            </w:r>
          </w:p>
          <w:p w14:paraId="6CD50AE6" w14:textId="752C9454" w:rsidR="004E7867" w:rsidRDefault="004E7867" w:rsidP="007702A8">
            <w:pPr>
              <w:pStyle w:val="ListParagraph"/>
              <w:numPr>
                <w:ilvl w:val="0"/>
                <w:numId w:val="18"/>
              </w:numPr>
              <w:rPr>
                <w:i/>
                <w:iCs/>
              </w:rPr>
            </w:pPr>
            <w:r>
              <w:rPr>
                <w:i/>
                <w:iCs/>
              </w:rPr>
              <w:t>Emotional and behavioural difficulties</w:t>
            </w:r>
          </w:p>
          <w:p w14:paraId="104C7314" w14:textId="17459B6F" w:rsidR="00ED11C9" w:rsidRDefault="00ED11C9" w:rsidP="007702A8">
            <w:pPr>
              <w:pStyle w:val="ListParagraph"/>
              <w:numPr>
                <w:ilvl w:val="0"/>
                <w:numId w:val="18"/>
              </w:numPr>
            </w:pPr>
            <w:r w:rsidRPr="002F14EA">
              <w:rPr>
                <w:i/>
                <w:iCs/>
              </w:rPr>
              <w:t>Complex family situations that might prevent a child from flourishing</w:t>
            </w:r>
          </w:p>
          <w:p w14:paraId="4B3CE22C" w14:textId="22C45948" w:rsidR="00ED11C9" w:rsidRPr="002F14EA" w:rsidRDefault="00ED11C9" w:rsidP="00ED11C9">
            <w:pPr>
              <w:rPr>
                <w:i/>
                <w:iCs/>
              </w:rPr>
            </w:pPr>
            <w:r w:rsidRPr="002F14EA">
              <w:rPr>
                <w:i/>
                <w:iCs/>
              </w:rPr>
              <w:t>The challenges are varied and there is no ‘one size fits all’.</w:t>
            </w:r>
          </w:p>
          <w:p w14:paraId="3D916141" w14:textId="2AF5ACB0" w:rsidR="00301BF4" w:rsidRPr="007702A8" w:rsidRDefault="00301BF4" w:rsidP="007702A8">
            <w:pPr>
              <w:rPr>
                <w:i/>
                <w:iCs/>
              </w:rPr>
            </w:pPr>
            <w:r w:rsidRPr="007702A8">
              <w:rPr>
                <w:i/>
                <w:iCs/>
              </w:rPr>
              <w:t>The activities outlined in this strategy are designed to meet these needs, whether or not pupils are disadvantaged, including those with no recourse to public funding.</w:t>
            </w:r>
          </w:p>
          <w:p w14:paraId="0D4CC878" w14:textId="77777777" w:rsidR="00301BF4" w:rsidRPr="00156122" w:rsidRDefault="00301BF4" w:rsidP="00156122">
            <w:pPr>
              <w:rPr>
                <w:i/>
                <w:iCs/>
              </w:rPr>
            </w:pPr>
            <w:r w:rsidRPr="00156122">
              <w:rPr>
                <w:i/>
                <w:iCs/>
              </w:rPr>
              <w:t>High-quality first teaching is central to our approach, with targeted focus on the areas where disadvantaged pupils require the most support. This evidence-based approach has the greatest impact on closing the attainment gap while benefiting all pupils. Implicit in our intended outcomes is the aim that non-disadvantaged pupils’ attainment will be sustained and improved alongside that of their disadvantaged peers.</w:t>
            </w:r>
          </w:p>
          <w:p w14:paraId="3470035E" w14:textId="3BCAB97C" w:rsidR="00301BF4" w:rsidRPr="002F14EA" w:rsidRDefault="00ED11C9" w:rsidP="00156122">
            <w:pPr>
              <w:rPr>
                <w:i/>
                <w:iCs/>
                <w:u w:val="single"/>
              </w:rPr>
            </w:pPr>
            <w:r w:rsidRPr="002F14EA">
              <w:rPr>
                <w:i/>
                <w:iCs/>
                <w:u w:val="single"/>
              </w:rPr>
              <w:t>Achieving our Objectives:</w:t>
            </w:r>
          </w:p>
          <w:p w14:paraId="40F94C4E" w14:textId="200C832A" w:rsidR="00ED11C9" w:rsidRPr="002F14EA" w:rsidRDefault="00ED11C9" w:rsidP="00156122">
            <w:pPr>
              <w:rPr>
                <w:i/>
                <w:iCs/>
              </w:rPr>
            </w:pPr>
            <w:r w:rsidRPr="002F14EA">
              <w:rPr>
                <w:i/>
                <w:iCs/>
              </w:rPr>
              <w:t>In order to achieve our objectives and overcome identified barriers to learning we will:</w:t>
            </w:r>
          </w:p>
          <w:p w14:paraId="6A2FB238" w14:textId="0C89556A" w:rsidR="00ED11C9" w:rsidRDefault="00ED11C9" w:rsidP="00156122">
            <w:pPr>
              <w:pStyle w:val="ListParagraph"/>
              <w:rPr>
                <w:i/>
                <w:iCs/>
              </w:rPr>
            </w:pPr>
            <w:r>
              <w:rPr>
                <w:i/>
                <w:iCs/>
              </w:rPr>
              <w:t>Provide all teachers with high quality CPD to ensure that pupils access effective quality first teaching</w:t>
            </w:r>
          </w:p>
          <w:p w14:paraId="0B01533A" w14:textId="1B10AFA9" w:rsidR="00301BF4" w:rsidRDefault="00301BF4" w:rsidP="00156122">
            <w:pPr>
              <w:pStyle w:val="ListParagraph"/>
              <w:rPr>
                <w:i/>
                <w:iCs/>
              </w:rPr>
            </w:pPr>
            <w:r w:rsidRPr="00301BF4">
              <w:rPr>
                <w:i/>
                <w:iCs/>
              </w:rPr>
              <w:t>Ensure disadvantaged pupils are appropriately challenged in their learning</w:t>
            </w:r>
          </w:p>
          <w:p w14:paraId="58A0BAB8" w14:textId="47BD97B9" w:rsidR="00ED11C9" w:rsidRPr="00156122" w:rsidRDefault="00ED11C9" w:rsidP="00156122">
            <w:pPr>
              <w:pStyle w:val="ListParagraph"/>
              <w:rPr>
                <w:i/>
                <w:iCs/>
              </w:rPr>
            </w:pPr>
            <w:r>
              <w:rPr>
                <w:i/>
                <w:iCs/>
              </w:rPr>
              <w:lastRenderedPageBreak/>
              <w:t>Adopt a whole school approach in which all staff take responsibility for disadvantaged pupil’s outcomes and raise expectations of what they can achieve</w:t>
            </w:r>
          </w:p>
          <w:p w14:paraId="4CE2A1B9" w14:textId="77777777" w:rsidR="00301BF4" w:rsidRPr="00301BF4" w:rsidRDefault="00301BF4" w:rsidP="00301BF4">
            <w:pPr>
              <w:pStyle w:val="ListParagraph"/>
              <w:rPr>
                <w:i/>
                <w:iCs/>
              </w:rPr>
            </w:pPr>
            <w:r w:rsidRPr="00301BF4">
              <w:rPr>
                <w:i/>
                <w:iCs/>
              </w:rPr>
              <w:t>Act promptly to provide support at the point of identified need</w:t>
            </w:r>
          </w:p>
          <w:p w14:paraId="28BCE2C7" w14:textId="57E3AA54" w:rsidR="00301BF4" w:rsidRDefault="00ED11C9" w:rsidP="00156122">
            <w:pPr>
              <w:pStyle w:val="ListParagraph"/>
              <w:rPr>
                <w:i/>
                <w:iCs/>
              </w:rPr>
            </w:pPr>
            <w:r>
              <w:rPr>
                <w:i/>
                <w:iCs/>
              </w:rPr>
              <w:t>Target funding to ensure that all pupils have access to events, trips and first-hand learning experiences</w:t>
            </w:r>
          </w:p>
          <w:p w14:paraId="55FDE376" w14:textId="77777777" w:rsidR="00ED11C9" w:rsidRDefault="00ED11C9" w:rsidP="00156122">
            <w:pPr>
              <w:pStyle w:val="ListParagraph"/>
              <w:rPr>
                <w:i/>
                <w:iCs/>
              </w:rPr>
            </w:pPr>
            <w:r>
              <w:rPr>
                <w:i/>
                <w:iCs/>
              </w:rPr>
              <w:t>Provide opportunities for all pupils to participate in enrichment activities including sport and music</w:t>
            </w:r>
          </w:p>
          <w:p w14:paraId="416134E8" w14:textId="77777777" w:rsidR="00ED11C9" w:rsidRDefault="00ED11C9" w:rsidP="00156122">
            <w:pPr>
              <w:pStyle w:val="ListParagraph"/>
              <w:rPr>
                <w:i/>
                <w:iCs/>
              </w:rPr>
            </w:pPr>
            <w:r>
              <w:rPr>
                <w:i/>
                <w:iCs/>
              </w:rPr>
              <w:t>Provide appropriate nurture support to enable pupils to access learning within and beyond the classroom</w:t>
            </w:r>
          </w:p>
          <w:p w14:paraId="107DDC4F" w14:textId="15E8CD0B" w:rsidR="00ED11C9" w:rsidRPr="002F14EA" w:rsidRDefault="00ED11C9" w:rsidP="00ED11C9">
            <w:pPr>
              <w:pStyle w:val="ListParagraph"/>
              <w:numPr>
                <w:ilvl w:val="0"/>
                <w:numId w:val="0"/>
              </w:numPr>
              <w:ind w:left="360"/>
              <w:rPr>
                <w:i/>
                <w:iCs/>
              </w:rPr>
            </w:pPr>
            <w:r w:rsidRPr="002F14EA">
              <w:rPr>
                <w:i/>
                <w:iCs/>
              </w:rPr>
              <w:t xml:space="preserve">This list is not exhaustive and will change according to the needs </w:t>
            </w:r>
            <w:r w:rsidR="002F14EA">
              <w:rPr>
                <w:i/>
                <w:iCs/>
              </w:rPr>
              <w:t>a</w:t>
            </w:r>
            <w:r w:rsidRPr="002F14EA">
              <w:rPr>
                <w:i/>
                <w:iCs/>
              </w:rPr>
              <w:t>nd support our socially disadvantaged</w:t>
            </w:r>
            <w:r w:rsidR="009379ED" w:rsidRPr="002F14EA">
              <w:rPr>
                <w:i/>
                <w:iCs/>
              </w:rPr>
              <w:t xml:space="preserve"> pupils require.</w:t>
            </w:r>
          </w:p>
          <w:p w14:paraId="1C4C9047" w14:textId="77777777" w:rsidR="009379ED" w:rsidRPr="002F14EA" w:rsidRDefault="009379ED" w:rsidP="00ED11C9">
            <w:pPr>
              <w:pStyle w:val="ListParagraph"/>
              <w:numPr>
                <w:ilvl w:val="0"/>
                <w:numId w:val="0"/>
              </w:numPr>
              <w:ind w:left="360"/>
              <w:rPr>
                <w:i/>
                <w:iCs/>
              </w:rPr>
            </w:pPr>
          </w:p>
          <w:p w14:paraId="14AA9105" w14:textId="77777777" w:rsidR="009379ED" w:rsidRPr="002F14EA" w:rsidRDefault="009379ED" w:rsidP="00ED11C9">
            <w:pPr>
              <w:pStyle w:val="ListParagraph"/>
              <w:numPr>
                <w:ilvl w:val="0"/>
                <w:numId w:val="0"/>
              </w:numPr>
              <w:ind w:left="360"/>
              <w:rPr>
                <w:i/>
                <w:iCs/>
                <w:u w:val="single"/>
              </w:rPr>
            </w:pPr>
            <w:r w:rsidRPr="002F14EA">
              <w:rPr>
                <w:i/>
                <w:iCs/>
                <w:u w:val="single"/>
              </w:rPr>
              <w:t>Key Principles</w:t>
            </w:r>
          </w:p>
          <w:p w14:paraId="2A7D54E9" w14:textId="20018BFB" w:rsidR="009379ED" w:rsidRPr="009379ED" w:rsidRDefault="009379ED" w:rsidP="00ED11C9">
            <w:pPr>
              <w:pStyle w:val="ListParagraph"/>
              <w:numPr>
                <w:ilvl w:val="0"/>
                <w:numId w:val="0"/>
              </w:numPr>
              <w:ind w:left="360"/>
              <w:rPr>
                <w:u w:val="single"/>
              </w:rPr>
            </w:pPr>
            <w:r w:rsidRPr="002F14EA">
              <w:rPr>
                <w:i/>
                <w:iCs/>
              </w:rPr>
              <w:t>We will ensure that teaching, learning, and assessment are responsive to the needs of all pupils through the thorough and ongoing analysis of data. Class teachers will outline targeted interventions and support for individual pupils on their provision maps, which will be reviewed at least once each term. Alongside academic provision, we will also make certain that pupils with social, emotional, or mental health needs receive high-quality support from suitably trained adults.</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C1EA" w14:textId="69C81298" w:rsidR="00CB4E5F" w:rsidRPr="009E14A3" w:rsidRDefault="00CB4E5F" w:rsidP="00CB4E5F">
            <w:pPr>
              <w:pStyle w:val="NormalWeb"/>
              <w:rPr>
                <w:rFonts w:ascii="Arial" w:hAnsi="Arial" w:cs="Arial"/>
                <w:sz w:val="22"/>
                <w:szCs w:val="22"/>
              </w:rPr>
            </w:pPr>
            <w:r w:rsidRPr="009E14A3">
              <w:rPr>
                <w:rFonts w:ascii="Arial" w:hAnsi="Arial" w:cs="Arial"/>
                <w:sz w:val="22"/>
                <w:szCs w:val="22"/>
              </w:rPr>
              <w:t>A high proportion of pupils eligible for the Pupil Premium Grant are living in temporary accommodation. These homes are often overcrowded,</w:t>
            </w:r>
            <w:r w:rsidR="009E14A3">
              <w:rPr>
                <w:rFonts w:ascii="Arial" w:hAnsi="Arial" w:cs="Arial"/>
                <w:sz w:val="22"/>
                <w:szCs w:val="22"/>
              </w:rPr>
              <w:t xml:space="preserve"> </w:t>
            </w:r>
            <w:r w:rsidRPr="009E14A3">
              <w:rPr>
                <w:rFonts w:ascii="Arial" w:hAnsi="Arial" w:cs="Arial"/>
                <w:sz w:val="22"/>
                <w:szCs w:val="22"/>
              </w:rPr>
              <w:t>inadequately maintained or, in the case of private rentals, financially unsustainable. Some families experience disrupted access to essential utilities or face environmental issues such as vermin infestations.</w:t>
            </w:r>
          </w:p>
          <w:p w14:paraId="2A7D54F1" w14:textId="42F3B2EA" w:rsidR="00E66558" w:rsidRPr="009E14A3" w:rsidRDefault="00CB4E5F" w:rsidP="00CB4E5F">
            <w:pPr>
              <w:pStyle w:val="NormalWeb"/>
              <w:rPr>
                <w:rFonts w:ascii="Arial" w:hAnsi="Arial" w:cs="Arial"/>
                <w:sz w:val="22"/>
                <w:szCs w:val="22"/>
              </w:rPr>
            </w:pPr>
            <w:r w:rsidRPr="009E14A3">
              <w:rPr>
                <w:rFonts w:ascii="Arial" w:hAnsi="Arial" w:cs="Arial"/>
                <w:sz w:val="22"/>
                <w:szCs w:val="22"/>
              </w:rPr>
              <w:t>These circumstances significantly affect the emotional well-being, stability and welfare of our most disadvantaged pupils. As a result, the school frequently provides additional support to ensure that their basic needs are met, enabling them to fully engage in learning and make sustained progress.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805BE33" w:rsidR="00E66558" w:rsidRPr="009E14A3" w:rsidRDefault="00790EBE" w:rsidP="00C31636">
            <w:pPr>
              <w:pStyle w:val="TableRowCentered"/>
              <w:ind w:left="0" w:right="0"/>
              <w:jc w:val="left"/>
              <w:rPr>
                <w:sz w:val="22"/>
                <w:szCs w:val="22"/>
              </w:rPr>
            </w:pPr>
            <w:r w:rsidRPr="009E14A3">
              <w:rPr>
                <w:sz w:val="22"/>
                <w:szCs w:val="22"/>
              </w:rPr>
              <w:t>The achievement of pupils in receipt of the PPG in reading, writing and maths is below that of their peers across the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E5280A8" w:rsidR="00E66558" w:rsidRPr="009E14A3" w:rsidRDefault="00790EBE" w:rsidP="00C31636">
            <w:pPr>
              <w:pStyle w:val="TableRowCentered"/>
              <w:ind w:left="0" w:right="0"/>
              <w:jc w:val="left"/>
              <w:rPr>
                <w:sz w:val="22"/>
                <w:szCs w:val="22"/>
              </w:rPr>
            </w:pPr>
            <w:r w:rsidRPr="009E14A3">
              <w:rPr>
                <w:sz w:val="22"/>
                <w:szCs w:val="22"/>
              </w:rPr>
              <w:t>The achievement of pupils in receipt of the PPG in phonics is below that of their peers across the school.</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CEA96A2" w:rsidR="00E66558" w:rsidRPr="009E14A3" w:rsidRDefault="009E14A3" w:rsidP="00C31636">
            <w:pPr>
              <w:pStyle w:val="TableRowCentered"/>
              <w:ind w:left="0" w:right="0"/>
              <w:jc w:val="left"/>
              <w:rPr>
                <w:iCs/>
                <w:sz w:val="22"/>
                <w:szCs w:val="22"/>
              </w:rPr>
            </w:pPr>
            <w:r w:rsidRPr="009E14A3">
              <w:rPr>
                <w:iCs/>
                <w:sz w:val="22"/>
                <w:szCs w:val="22"/>
              </w:rPr>
              <w:t>The attendance of disadvantaged children is lower than all children and 34 of the persistently absent children are eligible for Pupil Premium.</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FF2704E" w:rsidR="00E66558" w:rsidRPr="009E14A3" w:rsidRDefault="00221F6D" w:rsidP="00C31636">
            <w:pPr>
              <w:pStyle w:val="TableRowCentered"/>
              <w:ind w:left="0" w:right="0"/>
              <w:jc w:val="left"/>
              <w:rPr>
                <w:iCs/>
                <w:sz w:val="22"/>
                <w:szCs w:val="22"/>
              </w:rPr>
            </w:pPr>
            <w:r w:rsidRPr="009E14A3">
              <w:rPr>
                <w:sz w:val="22"/>
                <w:szCs w:val="22"/>
              </w:rPr>
              <w:t>Limited oral/written expressive and receptive English language skills, often due to having English as an additional language (EAL) and/or insufficient language development at home before starting school.</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005"/>
        <w:gridCol w:w="448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87E2F33" w:rsidR="00E66558" w:rsidRPr="009E14A3" w:rsidRDefault="004811F4" w:rsidP="00C31636">
            <w:pPr>
              <w:pStyle w:val="TableRow"/>
              <w:ind w:left="0" w:right="0"/>
              <w:rPr>
                <w:sz w:val="22"/>
                <w:szCs w:val="22"/>
              </w:rPr>
            </w:pPr>
            <w:r w:rsidRPr="009E14A3">
              <w:rPr>
                <w:sz w:val="22"/>
                <w:szCs w:val="22"/>
              </w:rPr>
              <w:t xml:space="preserve">Improve the emotional well-being and self-regulation skills of disadvantaged pupils so they are better able to manage their emotions, engage positively in school life, and access learning more effectively.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6CF7F73" w:rsidR="00E66558" w:rsidRPr="009E14A3" w:rsidRDefault="00A34ADD" w:rsidP="00C31636">
            <w:pPr>
              <w:pStyle w:val="TableRowCentered"/>
              <w:ind w:left="0" w:right="0"/>
              <w:jc w:val="left"/>
              <w:rPr>
                <w:sz w:val="22"/>
                <w:szCs w:val="22"/>
              </w:rPr>
            </w:pPr>
            <w:r w:rsidRPr="009E14A3">
              <w:rPr>
                <w:sz w:val="22"/>
                <w:szCs w:val="22"/>
              </w:rPr>
              <w:t>Pupils will demonstrate increased readiness to learn, improved behaviour for learning, and greater resilience within the classroom.</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9FFB9" w14:textId="77777777" w:rsidR="00E66558" w:rsidRPr="009E14A3" w:rsidRDefault="00715629" w:rsidP="00C31636">
            <w:pPr>
              <w:pStyle w:val="TableRow"/>
              <w:ind w:left="0" w:right="0"/>
              <w:rPr>
                <w:sz w:val="22"/>
                <w:szCs w:val="22"/>
              </w:rPr>
            </w:pPr>
            <w:r w:rsidRPr="009E14A3">
              <w:rPr>
                <w:sz w:val="22"/>
                <w:szCs w:val="22"/>
              </w:rPr>
              <w:t>Reduce gap between pupil-premium pupils and non-pupil-premium pupils achieving age expected in Reading, Writing and Maths.</w:t>
            </w:r>
          </w:p>
          <w:tbl>
            <w:tblPr>
              <w:tblStyle w:val="TableGrid"/>
              <w:tblW w:w="0" w:type="auto"/>
              <w:tblLook w:val="04A0" w:firstRow="1" w:lastRow="0" w:firstColumn="1" w:lastColumn="0" w:noHBand="0" w:noVBand="1"/>
            </w:tblPr>
            <w:tblGrid>
              <w:gridCol w:w="1198"/>
              <w:gridCol w:w="944"/>
              <w:gridCol w:w="763"/>
              <w:gridCol w:w="1684"/>
            </w:tblGrid>
            <w:tr w:rsidR="004C1107" w:rsidRPr="009E14A3" w14:paraId="37C65B46" w14:textId="77777777" w:rsidTr="004C1107">
              <w:tc>
                <w:tcPr>
                  <w:tcW w:w="1198" w:type="dxa"/>
                </w:tcPr>
                <w:p w14:paraId="41FD5E63" w14:textId="77777777" w:rsidR="004C1107" w:rsidRPr="009E14A3" w:rsidRDefault="004C1107" w:rsidP="00C31636">
                  <w:pPr>
                    <w:pStyle w:val="TableRow"/>
                    <w:ind w:left="0" w:right="0"/>
                    <w:rPr>
                      <w:sz w:val="22"/>
                      <w:szCs w:val="22"/>
                    </w:rPr>
                  </w:pPr>
                  <w:r w:rsidRPr="009E14A3">
                    <w:rPr>
                      <w:sz w:val="22"/>
                      <w:szCs w:val="22"/>
                    </w:rPr>
                    <w:t>End of KS1</w:t>
                  </w:r>
                </w:p>
                <w:p w14:paraId="37044AB7" w14:textId="02432F48" w:rsidR="004C1107" w:rsidRPr="009E14A3" w:rsidRDefault="004C1107" w:rsidP="00C31636">
                  <w:pPr>
                    <w:pStyle w:val="TableRow"/>
                    <w:ind w:left="0" w:right="0"/>
                    <w:rPr>
                      <w:sz w:val="22"/>
                      <w:szCs w:val="22"/>
                    </w:rPr>
                  </w:pPr>
                  <w:r w:rsidRPr="009E14A3">
                    <w:rPr>
                      <w:sz w:val="22"/>
                      <w:szCs w:val="22"/>
                    </w:rPr>
                    <w:t>2025</w:t>
                  </w:r>
                </w:p>
              </w:tc>
              <w:tc>
                <w:tcPr>
                  <w:tcW w:w="944" w:type="dxa"/>
                </w:tcPr>
                <w:p w14:paraId="3AB30CE5" w14:textId="74B66115" w:rsidR="004C1107" w:rsidRPr="009E14A3" w:rsidRDefault="004C1107" w:rsidP="00C31636">
                  <w:pPr>
                    <w:pStyle w:val="TableRow"/>
                    <w:ind w:left="0" w:right="0"/>
                    <w:rPr>
                      <w:sz w:val="22"/>
                      <w:szCs w:val="22"/>
                    </w:rPr>
                  </w:pPr>
                  <w:r w:rsidRPr="009E14A3">
                    <w:rPr>
                      <w:sz w:val="22"/>
                      <w:szCs w:val="22"/>
                    </w:rPr>
                    <w:t xml:space="preserve">All </w:t>
                  </w:r>
                </w:p>
              </w:tc>
              <w:tc>
                <w:tcPr>
                  <w:tcW w:w="763" w:type="dxa"/>
                </w:tcPr>
                <w:p w14:paraId="739708FC" w14:textId="61202B55" w:rsidR="004C1107" w:rsidRPr="009E14A3" w:rsidRDefault="004C1107" w:rsidP="00C31636">
                  <w:pPr>
                    <w:pStyle w:val="TableRow"/>
                    <w:ind w:left="0" w:right="0"/>
                    <w:rPr>
                      <w:sz w:val="22"/>
                      <w:szCs w:val="22"/>
                    </w:rPr>
                  </w:pPr>
                  <w:r w:rsidRPr="009E14A3">
                    <w:rPr>
                      <w:sz w:val="22"/>
                      <w:szCs w:val="22"/>
                    </w:rPr>
                    <w:t>Non-dis</w:t>
                  </w:r>
                </w:p>
              </w:tc>
              <w:tc>
                <w:tcPr>
                  <w:tcW w:w="1684" w:type="dxa"/>
                </w:tcPr>
                <w:p w14:paraId="020292CC" w14:textId="6AF92897" w:rsidR="004C1107" w:rsidRPr="009E14A3" w:rsidRDefault="004C1107" w:rsidP="00C31636">
                  <w:pPr>
                    <w:pStyle w:val="TableRow"/>
                    <w:ind w:left="0" w:right="0"/>
                    <w:rPr>
                      <w:sz w:val="22"/>
                      <w:szCs w:val="22"/>
                    </w:rPr>
                  </w:pPr>
                  <w:r w:rsidRPr="009E14A3">
                    <w:rPr>
                      <w:sz w:val="22"/>
                      <w:szCs w:val="22"/>
                    </w:rPr>
                    <w:t>Disadvantaged</w:t>
                  </w:r>
                </w:p>
              </w:tc>
            </w:tr>
            <w:tr w:rsidR="004C1107" w:rsidRPr="009E14A3" w14:paraId="0974DC29" w14:textId="77777777" w:rsidTr="004C1107">
              <w:tc>
                <w:tcPr>
                  <w:tcW w:w="1198" w:type="dxa"/>
                </w:tcPr>
                <w:p w14:paraId="4FA86AFE" w14:textId="72BE3EA6" w:rsidR="004C1107" w:rsidRPr="009E14A3" w:rsidRDefault="004C1107" w:rsidP="00C31636">
                  <w:pPr>
                    <w:pStyle w:val="TableRow"/>
                    <w:ind w:left="0" w:right="0"/>
                    <w:rPr>
                      <w:sz w:val="22"/>
                      <w:szCs w:val="22"/>
                    </w:rPr>
                  </w:pPr>
                  <w:r w:rsidRPr="009E14A3">
                    <w:rPr>
                      <w:sz w:val="22"/>
                      <w:szCs w:val="22"/>
                    </w:rPr>
                    <w:t>Reading</w:t>
                  </w:r>
                </w:p>
              </w:tc>
              <w:tc>
                <w:tcPr>
                  <w:tcW w:w="944" w:type="dxa"/>
                </w:tcPr>
                <w:p w14:paraId="0B1D6599" w14:textId="28C4D8BE" w:rsidR="004C1107" w:rsidRPr="009E14A3" w:rsidRDefault="004C1107" w:rsidP="00C31636">
                  <w:pPr>
                    <w:pStyle w:val="TableRow"/>
                    <w:ind w:left="0" w:right="0"/>
                    <w:rPr>
                      <w:sz w:val="22"/>
                      <w:szCs w:val="22"/>
                    </w:rPr>
                  </w:pPr>
                  <w:r w:rsidRPr="009E14A3">
                    <w:rPr>
                      <w:sz w:val="22"/>
                      <w:szCs w:val="22"/>
                    </w:rPr>
                    <w:t>61%</w:t>
                  </w:r>
                </w:p>
              </w:tc>
              <w:tc>
                <w:tcPr>
                  <w:tcW w:w="763" w:type="dxa"/>
                </w:tcPr>
                <w:p w14:paraId="404EB365" w14:textId="21B663BB" w:rsidR="004C1107" w:rsidRPr="009E14A3" w:rsidRDefault="004C1107" w:rsidP="00C31636">
                  <w:pPr>
                    <w:pStyle w:val="TableRow"/>
                    <w:ind w:left="0" w:right="0"/>
                    <w:rPr>
                      <w:sz w:val="22"/>
                      <w:szCs w:val="22"/>
                    </w:rPr>
                  </w:pPr>
                  <w:r w:rsidRPr="009E14A3">
                    <w:rPr>
                      <w:sz w:val="22"/>
                      <w:szCs w:val="22"/>
                    </w:rPr>
                    <w:t>76%</w:t>
                  </w:r>
                </w:p>
              </w:tc>
              <w:tc>
                <w:tcPr>
                  <w:tcW w:w="1684" w:type="dxa"/>
                </w:tcPr>
                <w:p w14:paraId="01CF5176" w14:textId="0440AD8D" w:rsidR="004C1107" w:rsidRPr="009E14A3" w:rsidRDefault="004C1107" w:rsidP="00C31636">
                  <w:pPr>
                    <w:pStyle w:val="TableRow"/>
                    <w:ind w:left="0" w:right="0"/>
                    <w:rPr>
                      <w:sz w:val="22"/>
                      <w:szCs w:val="22"/>
                    </w:rPr>
                  </w:pPr>
                  <w:r w:rsidRPr="009E14A3">
                    <w:rPr>
                      <w:sz w:val="22"/>
                      <w:szCs w:val="22"/>
                    </w:rPr>
                    <w:t>47%</w:t>
                  </w:r>
                </w:p>
              </w:tc>
            </w:tr>
            <w:tr w:rsidR="004C1107" w:rsidRPr="009E14A3" w14:paraId="13253064" w14:textId="77777777" w:rsidTr="004C1107">
              <w:tc>
                <w:tcPr>
                  <w:tcW w:w="1198" w:type="dxa"/>
                </w:tcPr>
                <w:p w14:paraId="2FA88658" w14:textId="1D0DA109" w:rsidR="004C1107" w:rsidRPr="009E14A3" w:rsidRDefault="004C1107" w:rsidP="00C31636">
                  <w:pPr>
                    <w:pStyle w:val="TableRow"/>
                    <w:ind w:left="0" w:right="0"/>
                    <w:rPr>
                      <w:sz w:val="22"/>
                      <w:szCs w:val="22"/>
                    </w:rPr>
                  </w:pPr>
                  <w:r w:rsidRPr="009E14A3">
                    <w:rPr>
                      <w:sz w:val="22"/>
                      <w:szCs w:val="22"/>
                    </w:rPr>
                    <w:t>Writing</w:t>
                  </w:r>
                </w:p>
              </w:tc>
              <w:tc>
                <w:tcPr>
                  <w:tcW w:w="944" w:type="dxa"/>
                </w:tcPr>
                <w:p w14:paraId="6F36A140" w14:textId="6E5255E2" w:rsidR="004C1107" w:rsidRPr="009E14A3" w:rsidRDefault="004C1107" w:rsidP="00C31636">
                  <w:pPr>
                    <w:pStyle w:val="TableRow"/>
                    <w:ind w:left="0" w:right="0"/>
                    <w:rPr>
                      <w:sz w:val="22"/>
                      <w:szCs w:val="22"/>
                    </w:rPr>
                  </w:pPr>
                  <w:r w:rsidRPr="009E14A3">
                    <w:rPr>
                      <w:sz w:val="22"/>
                      <w:szCs w:val="22"/>
                    </w:rPr>
                    <w:t>54%</w:t>
                  </w:r>
                </w:p>
              </w:tc>
              <w:tc>
                <w:tcPr>
                  <w:tcW w:w="763" w:type="dxa"/>
                </w:tcPr>
                <w:p w14:paraId="3E4C851C" w14:textId="0DB8FE3B" w:rsidR="004C1107" w:rsidRPr="009E14A3" w:rsidRDefault="004C1107" w:rsidP="00C31636">
                  <w:pPr>
                    <w:pStyle w:val="TableRow"/>
                    <w:ind w:left="0" w:right="0"/>
                    <w:rPr>
                      <w:sz w:val="22"/>
                      <w:szCs w:val="22"/>
                    </w:rPr>
                  </w:pPr>
                  <w:r w:rsidRPr="009E14A3">
                    <w:rPr>
                      <w:sz w:val="22"/>
                      <w:szCs w:val="22"/>
                    </w:rPr>
                    <w:t>68%</w:t>
                  </w:r>
                </w:p>
              </w:tc>
              <w:tc>
                <w:tcPr>
                  <w:tcW w:w="1684" w:type="dxa"/>
                </w:tcPr>
                <w:p w14:paraId="1DD518CD" w14:textId="2644F3DF" w:rsidR="004C1107" w:rsidRPr="009E14A3" w:rsidRDefault="004C1107" w:rsidP="00C31636">
                  <w:pPr>
                    <w:pStyle w:val="TableRow"/>
                    <w:ind w:left="0" w:right="0"/>
                    <w:rPr>
                      <w:sz w:val="22"/>
                      <w:szCs w:val="22"/>
                    </w:rPr>
                  </w:pPr>
                  <w:r w:rsidRPr="009E14A3">
                    <w:rPr>
                      <w:sz w:val="22"/>
                      <w:szCs w:val="22"/>
                    </w:rPr>
                    <w:t>47%</w:t>
                  </w:r>
                </w:p>
              </w:tc>
            </w:tr>
            <w:tr w:rsidR="004C1107" w:rsidRPr="009E14A3" w14:paraId="4D34F4E3" w14:textId="77777777" w:rsidTr="004C1107">
              <w:tc>
                <w:tcPr>
                  <w:tcW w:w="1198" w:type="dxa"/>
                </w:tcPr>
                <w:p w14:paraId="632EBE87" w14:textId="5A71A51B" w:rsidR="004C1107" w:rsidRPr="009E14A3" w:rsidRDefault="004C1107" w:rsidP="00C31636">
                  <w:pPr>
                    <w:pStyle w:val="TableRow"/>
                    <w:ind w:left="0" w:right="0"/>
                    <w:rPr>
                      <w:sz w:val="22"/>
                      <w:szCs w:val="22"/>
                    </w:rPr>
                  </w:pPr>
                  <w:r w:rsidRPr="009E14A3">
                    <w:rPr>
                      <w:sz w:val="22"/>
                      <w:szCs w:val="22"/>
                    </w:rPr>
                    <w:t>Maths</w:t>
                  </w:r>
                </w:p>
              </w:tc>
              <w:tc>
                <w:tcPr>
                  <w:tcW w:w="944" w:type="dxa"/>
                </w:tcPr>
                <w:p w14:paraId="13502345" w14:textId="13EC8490" w:rsidR="004C1107" w:rsidRPr="009E14A3" w:rsidRDefault="004C1107" w:rsidP="00C31636">
                  <w:pPr>
                    <w:pStyle w:val="TableRow"/>
                    <w:ind w:left="0" w:right="0"/>
                    <w:rPr>
                      <w:sz w:val="22"/>
                      <w:szCs w:val="22"/>
                    </w:rPr>
                  </w:pPr>
                  <w:r w:rsidRPr="009E14A3">
                    <w:rPr>
                      <w:sz w:val="22"/>
                      <w:szCs w:val="22"/>
                    </w:rPr>
                    <w:t>61%</w:t>
                  </w:r>
                </w:p>
              </w:tc>
              <w:tc>
                <w:tcPr>
                  <w:tcW w:w="763" w:type="dxa"/>
                </w:tcPr>
                <w:p w14:paraId="181312E2" w14:textId="09DCED0A" w:rsidR="004C1107" w:rsidRPr="009E14A3" w:rsidRDefault="004C1107" w:rsidP="00C31636">
                  <w:pPr>
                    <w:pStyle w:val="TableRow"/>
                    <w:ind w:left="0" w:right="0"/>
                    <w:rPr>
                      <w:sz w:val="22"/>
                      <w:szCs w:val="22"/>
                    </w:rPr>
                  </w:pPr>
                  <w:r w:rsidRPr="009E14A3">
                    <w:rPr>
                      <w:sz w:val="22"/>
                      <w:szCs w:val="22"/>
                    </w:rPr>
                    <w:t>77%</w:t>
                  </w:r>
                </w:p>
              </w:tc>
              <w:tc>
                <w:tcPr>
                  <w:tcW w:w="1684" w:type="dxa"/>
                </w:tcPr>
                <w:p w14:paraId="0465B748" w14:textId="189B4782" w:rsidR="004C1107" w:rsidRPr="009E14A3" w:rsidRDefault="004C1107" w:rsidP="00C31636">
                  <w:pPr>
                    <w:pStyle w:val="TableRow"/>
                    <w:ind w:left="0" w:right="0"/>
                    <w:rPr>
                      <w:sz w:val="22"/>
                      <w:szCs w:val="22"/>
                    </w:rPr>
                  </w:pPr>
                  <w:r w:rsidRPr="009E14A3">
                    <w:rPr>
                      <w:sz w:val="22"/>
                      <w:szCs w:val="22"/>
                    </w:rPr>
                    <w:t>49%</w:t>
                  </w:r>
                </w:p>
              </w:tc>
            </w:tr>
          </w:tbl>
          <w:p w14:paraId="2A7D5507" w14:textId="1142DFA2" w:rsidR="00C13756" w:rsidRPr="009E14A3" w:rsidRDefault="00C13756"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137668C" w:rsidR="00E66558" w:rsidRPr="009E14A3" w:rsidRDefault="00A34ADD" w:rsidP="00C31636">
            <w:pPr>
              <w:pStyle w:val="TableRowCentered"/>
              <w:ind w:left="0" w:right="0"/>
              <w:jc w:val="left"/>
              <w:rPr>
                <w:sz w:val="22"/>
                <w:szCs w:val="22"/>
              </w:rPr>
            </w:pPr>
            <w:r w:rsidRPr="009E14A3">
              <w:rPr>
                <w:sz w:val="22"/>
                <w:szCs w:val="22"/>
              </w:rPr>
              <w:t>The gap in attainment between pupils in receipt of the PPG and their peers are narrowed significantly, allowing pupils to achieve in line with national expectations in reading, writing and maths.</w:t>
            </w:r>
          </w:p>
        </w:tc>
      </w:tr>
      <w:tr w:rsidR="00715629"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EDDF" w14:textId="77777777" w:rsidR="00715629" w:rsidRDefault="00715629" w:rsidP="00715629">
            <w:pPr>
              <w:pStyle w:val="TableRow"/>
              <w:ind w:left="0" w:right="0"/>
              <w:rPr>
                <w:sz w:val="22"/>
                <w:szCs w:val="22"/>
              </w:rPr>
            </w:pPr>
            <w:r>
              <w:rPr>
                <w:sz w:val="22"/>
                <w:szCs w:val="22"/>
              </w:rPr>
              <w:t>Reduce gap between pupil-premium pupils and non-pupil-premium pupils achieving age expected Phonics.</w:t>
            </w:r>
          </w:p>
          <w:tbl>
            <w:tblPr>
              <w:tblStyle w:val="TableGrid"/>
              <w:tblW w:w="0" w:type="auto"/>
              <w:tblLook w:val="04A0" w:firstRow="1" w:lastRow="0" w:firstColumn="1" w:lastColumn="0" w:noHBand="0" w:noVBand="1"/>
            </w:tblPr>
            <w:tblGrid>
              <w:gridCol w:w="1175"/>
              <w:gridCol w:w="902"/>
              <w:gridCol w:w="828"/>
              <w:gridCol w:w="1684"/>
            </w:tblGrid>
            <w:tr w:rsidR="004C1107" w14:paraId="6D394632" w14:textId="77777777" w:rsidTr="004C1107">
              <w:trPr>
                <w:trHeight w:val="344"/>
              </w:trPr>
              <w:tc>
                <w:tcPr>
                  <w:tcW w:w="1175" w:type="dxa"/>
                </w:tcPr>
                <w:p w14:paraId="17C87569" w14:textId="41EF638B" w:rsidR="004C1107" w:rsidRDefault="004C1107" w:rsidP="00715629">
                  <w:pPr>
                    <w:pStyle w:val="TableRow"/>
                    <w:ind w:left="0" w:right="0"/>
                    <w:rPr>
                      <w:sz w:val="22"/>
                      <w:szCs w:val="22"/>
                    </w:rPr>
                  </w:pPr>
                  <w:r>
                    <w:rPr>
                      <w:sz w:val="22"/>
                      <w:szCs w:val="22"/>
                    </w:rPr>
                    <w:t>2025</w:t>
                  </w:r>
                </w:p>
              </w:tc>
              <w:tc>
                <w:tcPr>
                  <w:tcW w:w="902" w:type="dxa"/>
                </w:tcPr>
                <w:p w14:paraId="004CFEC9" w14:textId="3ABB34FD" w:rsidR="004C1107" w:rsidRDefault="004C1107" w:rsidP="00715629">
                  <w:pPr>
                    <w:pStyle w:val="TableRow"/>
                    <w:ind w:left="0" w:right="0"/>
                    <w:rPr>
                      <w:sz w:val="22"/>
                      <w:szCs w:val="22"/>
                    </w:rPr>
                  </w:pPr>
                  <w:r>
                    <w:rPr>
                      <w:sz w:val="22"/>
                      <w:szCs w:val="22"/>
                    </w:rPr>
                    <w:t>All</w:t>
                  </w:r>
                </w:p>
              </w:tc>
              <w:tc>
                <w:tcPr>
                  <w:tcW w:w="828" w:type="dxa"/>
                </w:tcPr>
                <w:p w14:paraId="2B05C808" w14:textId="72A6FB91" w:rsidR="004C1107" w:rsidRDefault="004C1107" w:rsidP="00715629">
                  <w:pPr>
                    <w:pStyle w:val="TableRow"/>
                    <w:ind w:left="0" w:right="0"/>
                    <w:rPr>
                      <w:sz w:val="22"/>
                      <w:szCs w:val="22"/>
                    </w:rPr>
                  </w:pPr>
                  <w:r>
                    <w:rPr>
                      <w:sz w:val="22"/>
                      <w:szCs w:val="22"/>
                    </w:rPr>
                    <w:t>Non-dis</w:t>
                  </w:r>
                </w:p>
              </w:tc>
              <w:tc>
                <w:tcPr>
                  <w:tcW w:w="1684" w:type="dxa"/>
                </w:tcPr>
                <w:p w14:paraId="24D7287F" w14:textId="0F723271" w:rsidR="004C1107" w:rsidRDefault="004C1107" w:rsidP="00715629">
                  <w:pPr>
                    <w:pStyle w:val="TableRow"/>
                    <w:ind w:left="0" w:right="0"/>
                    <w:rPr>
                      <w:sz w:val="22"/>
                      <w:szCs w:val="22"/>
                    </w:rPr>
                  </w:pPr>
                  <w:r>
                    <w:rPr>
                      <w:sz w:val="22"/>
                      <w:szCs w:val="22"/>
                    </w:rPr>
                    <w:t>Disadvantaged</w:t>
                  </w:r>
                </w:p>
              </w:tc>
            </w:tr>
            <w:tr w:rsidR="004C1107" w14:paraId="53BB78DF" w14:textId="77777777" w:rsidTr="004C1107">
              <w:trPr>
                <w:trHeight w:val="352"/>
              </w:trPr>
              <w:tc>
                <w:tcPr>
                  <w:tcW w:w="1175" w:type="dxa"/>
                </w:tcPr>
                <w:p w14:paraId="4946E9A2" w14:textId="12EB55A2" w:rsidR="004C1107" w:rsidRPr="00BF3282" w:rsidRDefault="004C1107" w:rsidP="00715629">
                  <w:pPr>
                    <w:pStyle w:val="TableRow"/>
                    <w:ind w:left="0" w:right="0"/>
                    <w:rPr>
                      <w:sz w:val="20"/>
                      <w:szCs w:val="20"/>
                    </w:rPr>
                  </w:pPr>
                  <w:r w:rsidRPr="00BF3282">
                    <w:rPr>
                      <w:sz w:val="20"/>
                      <w:szCs w:val="20"/>
                    </w:rPr>
                    <w:t>Year 1</w:t>
                  </w:r>
                </w:p>
              </w:tc>
              <w:tc>
                <w:tcPr>
                  <w:tcW w:w="902" w:type="dxa"/>
                </w:tcPr>
                <w:p w14:paraId="407DB8A7" w14:textId="040F0555" w:rsidR="004C1107" w:rsidRDefault="004C1107" w:rsidP="00715629">
                  <w:pPr>
                    <w:pStyle w:val="TableRow"/>
                    <w:ind w:left="0" w:right="0"/>
                    <w:rPr>
                      <w:sz w:val="22"/>
                      <w:szCs w:val="22"/>
                    </w:rPr>
                  </w:pPr>
                  <w:r>
                    <w:rPr>
                      <w:sz w:val="22"/>
                      <w:szCs w:val="22"/>
                    </w:rPr>
                    <w:t>79%</w:t>
                  </w:r>
                </w:p>
              </w:tc>
              <w:tc>
                <w:tcPr>
                  <w:tcW w:w="828" w:type="dxa"/>
                </w:tcPr>
                <w:p w14:paraId="4899FC6E" w14:textId="51218ED0" w:rsidR="004C1107" w:rsidRDefault="004C1107" w:rsidP="00715629">
                  <w:pPr>
                    <w:pStyle w:val="TableRow"/>
                    <w:ind w:left="0" w:right="0"/>
                    <w:rPr>
                      <w:sz w:val="22"/>
                      <w:szCs w:val="22"/>
                    </w:rPr>
                  </w:pPr>
                  <w:r>
                    <w:rPr>
                      <w:sz w:val="22"/>
                      <w:szCs w:val="22"/>
                    </w:rPr>
                    <w:t>81%</w:t>
                  </w:r>
                </w:p>
              </w:tc>
              <w:tc>
                <w:tcPr>
                  <w:tcW w:w="1684" w:type="dxa"/>
                </w:tcPr>
                <w:p w14:paraId="3221BF7A" w14:textId="17D7B07A" w:rsidR="004C1107" w:rsidRDefault="004C1107" w:rsidP="00715629">
                  <w:pPr>
                    <w:pStyle w:val="TableRow"/>
                    <w:ind w:left="0" w:right="0"/>
                    <w:rPr>
                      <w:sz w:val="22"/>
                      <w:szCs w:val="22"/>
                    </w:rPr>
                  </w:pPr>
                  <w:r>
                    <w:rPr>
                      <w:sz w:val="22"/>
                      <w:szCs w:val="22"/>
                    </w:rPr>
                    <w:t>74%</w:t>
                  </w:r>
                </w:p>
              </w:tc>
            </w:tr>
            <w:tr w:rsidR="004C1107" w14:paraId="41958BA8" w14:textId="77777777" w:rsidTr="004C1107">
              <w:trPr>
                <w:trHeight w:val="579"/>
              </w:trPr>
              <w:tc>
                <w:tcPr>
                  <w:tcW w:w="1175" w:type="dxa"/>
                </w:tcPr>
                <w:p w14:paraId="5A18DCC6" w14:textId="285F6821" w:rsidR="004C1107" w:rsidRPr="00BF3282" w:rsidRDefault="004C1107" w:rsidP="00715629">
                  <w:pPr>
                    <w:pStyle w:val="TableRow"/>
                    <w:ind w:left="0" w:right="0"/>
                    <w:rPr>
                      <w:sz w:val="20"/>
                      <w:szCs w:val="20"/>
                    </w:rPr>
                  </w:pPr>
                  <w:r w:rsidRPr="00BF3282">
                    <w:rPr>
                      <w:sz w:val="20"/>
                      <w:szCs w:val="20"/>
                    </w:rPr>
                    <w:t>Year 2 (retake)</w:t>
                  </w:r>
                </w:p>
              </w:tc>
              <w:tc>
                <w:tcPr>
                  <w:tcW w:w="902" w:type="dxa"/>
                </w:tcPr>
                <w:p w14:paraId="06DA8900" w14:textId="2FABD470" w:rsidR="004C1107" w:rsidRDefault="004C1107" w:rsidP="00715629">
                  <w:pPr>
                    <w:pStyle w:val="TableRow"/>
                    <w:ind w:left="0" w:right="0"/>
                    <w:rPr>
                      <w:sz w:val="22"/>
                      <w:szCs w:val="22"/>
                    </w:rPr>
                  </w:pPr>
                  <w:r>
                    <w:rPr>
                      <w:sz w:val="22"/>
                      <w:szCs w:val="22"/>
                    </w:rPr>
                    <w:t>61%</w:t>
                  </w:r>
                </w:p>
              </w:tc>
              <w:tc>
                <w:tcPr>
                  <w:tcW w:w="828" w:type="dxa"/>
                </w:tcPr>
                <w:p w14:paraId="04081FC7" w14:textId="3F7CE87A" w:rsidR="004C1107" w:rsidRDefault="004C1107" w:rsidP="00715629">
                  <w:pPr>
                    <w:pStyle w:val="TableRow"/>
                    <w:ind w:left="0" w:right="0"/>
                    <w:rPr>
                      <w:sz w:val="22"/>
                      <w:szCs w:val="22"/>
                    </w:rPr>
                  </w:pPr>
                  <w:r>
                    <w:rPr>
                      <w:sz w:val="22"/>
                      <w:szCs w:val="22"/>
                    </w:rPr>
                    <w:t>74%</w:t>
                  </w:r>
                </w:p>
              </w:tc>
              <w:tc>
                <w:tcPr>
                  <w:tcW w:w="1684" w:type="dxa"/>
                </w:tcPr>
                <w:p w14:paraId="08C67C27" w14:textId="5675E612" w:rsidR="004C1107" w:rsidRDefault="004C1107" w:rsidP="00715629">
                  <w:pPr>
                    <w:pStyle w:val="TableRow"/>
                    <w:ind w:left="0" w:right="0"/>
                    <w:rPr>
                      <w:sz w:val="22"/>
                      <w:szCs w:val="22"/>
                    </w:rPr>
                  </w:pPr>
                  <w:r>
                    <w:rPr>
                      <w:sz w:val="22"/>
                      <w:szCs w:val="22"/>
                    </w:rPr>
                    <w:t>33%</w:t>
                  </w:r>
                </w:p>
              </w:tc>
            </w:tr>
            <w:tr w:rsidR="004C1107" w14:paraId="7611E45D" w14:textId="77777777" w:rsidTr="004C1107">
              <w:trPr>
                <w:trHeight w:val="586"/>
              </w:trPr>
              <w:tc>
                <w:tcPr>
                  <w:tcW w:w="1175" w:type="dxa"/>
                </w:tcPr>
                <w:p w14:paraId="211B7B4F" w14:textId="1AB27A53" w:rsidR="004C1107" w:rsidRPr="00BF3282" w:rsidRDefault="004C1107" w:rsidP="00715629">
                  <w:pPr>
                    <w:pStyle w:val="TableRow"/>
                    <w:ind w:left="0" w:right="0"/>
                    <w:rPr>
                      <w:sz w:val="20"/>
                      <w:szCs w:val="20"/>
                    </w:rPr>
                  </w:pPr>
                  <w:r w:rsidRPr="00BF3282">
                    <w:rPr>
                      <w:sz w:val="20"/>
                      <w:szCs w:val="20"/>
                    </w:rPr>
                    <w:t>Year 1 and 2 combined</w:t>
                  </w:r>
                </w:p>
              </w:tc>
              <w:tc>
                <w:tcPr>
                  <w:tcW w:w="902" w:type="dxa"/>
                </w:tcPr>
                <w:p w14:paraId="36563FEB" w14:textId="4B699C94" w:rsidR="004C1107" w:rsidRDefault="004C1107" w:rsidP="00715629">
                  <w:pPr>
                    <w:pStyle w:val="TableRow"/>
                    <w:ind w:left="0" w:right="0"/>
                    <w:rPr>
                      <w:sz w:val="22"/>
                      <w:szCs w:val="22"/>
                    </w:rPr>
                  </w:pPr>
                  <w:r>
                    <w:rPr>
                      <w:sz w:val="22"/>
                      <w:szCs w:val="22"/>
                    </w:rPr>
                    <w:t>76%</w:t>
                  </w:r>
                </w:p>
              </w:tc>
              <w:tc>
                <w:tcPr>
                  <w:tcW w:w="828" w:type="dxa"/>
                </w:tcPr>
                <w:p w14:paraId="12D7A82A" w14:textId="7242A07D" w:rsidR="004C1107" w:rsidRDefault="004C1107" w:rsidP="00715629">
                  <w:pPr>
                    <w:pStyle w:val="TableRow"/>
                    <w:ind w:left="0" w:right="0"/>
                    <w:rPr>
                      <w:sz w:val="22"/>
                      <w:szCs w:val="22"/>
                    </w:rPr>
                  </w:pPr>
                  <w:r>
                    <w:rPr>
                      <w:sz w:val="22"/>
                      <w:szCs w:val="22"/>
                    </w:rPr>
                    <w:t>80%</w:t>
                  </w:r>
                </w:p>
              </w:tc>
              <w:tc>
                <w:tcPr>
                  <w:tcW w:w="1684" w:type="dxa"/>
                </w:tcPr>
                <w:p w14:paraId="25DEF962" w14:textId="46B7C399" w:rsidR="004C1107" w:rsidRDefault="004C1107" w:rsidP="00715629">
                  <w:pPr>
                    <w:pStyle w:val="TableRow"/>
                    <w:ind w:left="0" w:right="0"/>
                    <w:rPr>
                      <w:sz w:val="22"/>
                      <w:szCs w:val="22"/>
                    </w:rPr>
                  </w:pPr>
                  <w:r>
                    <w:rPr>
                      <w:sz w:val="22"/>
                      <w:szCs w:val="22"/>
                    </w:rPr>
                    <w:t>66%</w:t>
                  </w:r>
                </w:p>
              </w:tc>
            </w:tr>
          </w:tbl>
          <w:p w14:paraId="2A7D550A" w14:textId="7363A87E" w:rsidR="00BF3282" w:rsidRDefault="00BF3282" w:rsidP="00715629">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6FE9036" w:rsidR="00715629" w:rsidRDefault="00A34ADD" w:rsidP="00715629">
            <w:pPr>
              <w:pStyle w:val="TableRowCentered"/>
              <w:ind w:left="0" w:right="0"/>
              <w:jc w:val="left"/>
              <w:rPr>
                <w:sz w:val="22"/>
                <w:szCs w:val="22"/>
              </w:rPr>
            </w:pPr>
            <w:r>
              <w:rPr>
                <w:sz w:val="22"/>
                <w:szCs w:val="22"/>
              </w:rPr>
              <w:t xml:space="preserve">Pupil premium children achieve in line with their peers and </w:t>
            </w:r>
            <w:r w:rsidR="00221F6D">
              <w:rPr>
                <w:sz w:val="22"/>
                <w:szCs w:val="22"/>
              </w:rPr>
              <w:t>nationally</w:t>
            </w:r>
            <w:r>
              <w:rPr>
                <w:sz w:val="22"/>
                <w:szCs w:val="22"/>
              </w:rPr>
              <w:t xml:space="preserve">. </w:t>
            </w:r>
          </w:p>
        </w:tc>
      </w:tr>
      <w:tr w:rsidR="0071562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146C859" w:rsidR="00715629" w:rsidRDefault="002F14EA" w:rsidP="00715629">
            <w:pPr>
              <w:pStyle w:val="TableRow"/>
              <w:ind w:left="0" w:right="0"/>
              <w:rPr>
                <w:sz w:val="22"/>
                <w:szCs w:val="22"/>
              </w:rPr>
            </w:pPr>
            <w:r>
              <w:rPr>
                <w:sz w:val="22"/>
                <w:szCs w:val="22"/>
              </w:rPr>
              <w:t>To achieve and sustain improved attendance and punctuality for all children, particularly our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8720EAC" w:rsidR="00715629" w:rsidRDefault="002F14EA" w:rsidP="00715629">
            <w:pPr>
              <w:pStyle w:val="TableRowCentered"/>
              <w:ind w:left="0" w:right="0"/>
              <w:jc w:val="left"/>
              <w:rPr>
                <w:sz w:val="22"/>
                <w:szCs w:val="22"/>
              </w:rPr>
            </w:pPr>
            <w:r>
              <w:rPr>
                <w:sz w:val="22"/>
                <w:szCs w:val="22"/>
              </w:rPr>
              <w:t>Attendance of disadvantaged children is line with all children and National.</w:t>
            </w:r>
          </w:p>
        </w:tc>
      </w:tr>
      <w:tr w:rsidR="004811F4" w14:paraId="0AA4D61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220F" w14:textId="77777777" w:rsidR="004811F4" w:rsidRPr="009E14A3" w:rsidRDefault="00221F6D" w:rsidP="00715629">
            <w:pPr>
              <w:pStyle w:val="TableRow"/>
              <w:ind w:left="0" w:right="0"/>
              <w:rPr>
                <w:sz w:val="22"/>
                <w:szCs w:val="22"/>
              </w:rPr>
            </w:pPr>
            <w:r w:rsidRPr="009E14A3">
              <w:rPr>
                <w:sz w:val="22"/>
                <w:szCs w:val="22"/>
              </w:rPr>
              <w:t>Improved oral language and vocabulary skills evident among disadvantaged pupils particularly in the EYs</w:t>
            </w:r>
          </w:p>
          <w:p w14:paraId="1532FE4D" w14:textId="77777777" w:rsidR="00BF3282" w:rsidRPr="009E14A3" w:rsidRDefault="00BF3282" w:rsidP="00715629">
            <w:pPr>
              <w:pStyle w:val="TableRow"/>
              <w:ind w:left="0" w:right="0"/>
              <w:rPr>
                <w:sz w:val="22"/>
                <w:szCs w:val="22"/>
              </w:rPr>
            </w:pPr>
          </w:p>
          <w:tbl>
            <w:tblPr>
              <w:tblStyle w:val="TableGrid"/>
              <w:tblW w:w="0" w:type="auto"/>
              <w:tblLook w:val="04A0" w:firstRow="1" w:lastRow="0" w:firstColumn="1" w:lastColumn="0" w:noHBand="0" w:noVBand="1"/>
            </w:tblPr>
            <w:tblGrid>
              <w:gridCol w:w="1745"/>
              <w:gridCol w:w="657"/>
              <w:gridCol w:w="693"/>
              <w:gridCol w:w="1684"/>
            </w:tblGrid>
            <w:tr w:rsidR="004C1107" w:rsidRPr="009E14A3" w14:paraId="7C5E3ED5" w14:textId="77777777" w:rsidTr="004C1107">
              <w:tc>
                <w:tcPr>
                  <w:tcW w:w="1328" w:type="dxa"/>
                </w:tcPr>
                <w:p w14:paraId="5768E8F1" w14:textId="0AB7B65C" w:rsidR="004C1107" w:rsidRPr="009E14A3" w:rsidRDefault="004C1107" w:rsidP="00715629">
                  <w:pPr>
                    <w:pStyle w:val="TableRow"/>
                    <w:ind w:left="0" w:right="0"/>
                    <w:rPr>
                      <w:sz w:val="22"/>
                      <w:szCs w:val="22"/>
                    </w:rPr>
                  </w:pPr>
                  <w:r w:rsidRPr="009E14A3">
                    <w:rPr>
                      <w:sz w:val="22"/>
                      <w:szCs w:val="22"/>
                    </w:rPr>
                    <w:t>2025</w:t>
                  </w:r>
                </w:p>
              </w:tc>
              <w:tc>
                <w:tcPr>
                  <w:tcW w:w="824" w:type="dxa"/>
                </w:tcPr>
                <w:p w14:paraId="6EBD53B1" w14:textId="6410384D" w:rsidR="004C1107" w:rsidRPr="009E14A3" w:rsidRDefault="004C1107" w:rsidP="00715629">
                  <w:pPr>
                    <w:pStyle w:val="TableRow"/>
                    <w:ind w:left="0" w:right="0"/>
                    <w:rPr>
                      <w:sz w:val="22"/>
                      <w:szCs w:val="22"/>
                    </w:rPr>
                  </w:pPr>
                  <w:r w:rsidRPr="009E14A3">
                    <w:rPr>
                      <w:sz w:val="22"/>
                      <w:szCs w:val="22"/>
                    </w:rPr>
                    <w:t>All</w:t>
                  </w:r>
                </w:p>
              </w:tc>
              <w:tc>
                <w:tcPr>
                  <w:tcW w:w="779" w:type="dxa"/>
                </w:tcPr>
                <w:p w14:paraId="52726FEF" w14:textId="65972FC7" w:rsidR="004C1107" w:rsidRPr="009E14A3" w:rsidRDefault="004C1107" w:rsidP="00715629">
                  <w:pPr>
                    <w:pStyle w:val="TableRow"/>
                    <w:ind w:left="0" w:right="0"/>
                    <w:rPr>
                      <w:sz w:val="22"/>
                      <w:szCs w:val="22"/>
                    </w:rPr>
                  </w:pPr>
                  <w:r w:rsidRPr="009E14A3">
                    <w:rPr>
                      <w:sz w:val="22"/>
                      <w:szCs w:val="22"/>
                    </w:rPr>
                    <w:t>Non-dis</w:t>
                  </w:r>
                </w:p>
              </w:tc>
              <w:tc>
                <w:tcPr>
                  <w:tcW w:w="1551" w:type="dxa"/>
                </w:tcPr>
                <w:p w14:paraId="7040ADF3" w14:textId="13A595D9" w:rsidR="004C1107" w:rsidRPr="009E14A3" w:rsidRDefault="004C1107" w:rsidP="00715629">
                  <w:pPr>
                    <w:pStyle w:val="TableRow"/>
                    <w:ind w:left="0" w:right="0"/>
                    <w:rPr>
                      <w:sz w:val="22"/>
                      <w:szCs w:val="22"/>
                    </w:rPr>
                  </w:pPr>
                  <w:r w:rsidRPr="009E14A3">
                    <w:rPr>
                      <w:sz w:val="22"/>
                      <w:szCs w:val="22"/>
                    </w:rPr>
                    <w:t>Disadvantaged</w:t>
                  </w:r>
                </w:p>
              </w:tc>
            </w:tr>
            <w:tr w:rsidR="004C1107" w:rsidRPr="009E14A3" w14:paraId="21EE7455" w14:textId="77777777" w:rsidTr="004C1107">
              <w:tc>
                <w:tcPr>
                  <w:tcW w:w="1328" w:type="dxa"/>
                </w:tcPr>
                <w:p w14:paraId="27AF5A38" w14:textId="77777777" w:rsidR="004C1107" w:rsidRPr="009E14A3" w:rsidRDefault="004C1107" w:rsidP="00715629">
                  <w:pPr>
                    <w:pStyle w:val="TableRow"/>
                    <w:ind w:left="0" w:right="0"/>
                    <w:rPr>
                      <w:sz w:val="22"/>
                      <w:szCs w:val="22"/>
                    </w:rPr>
                  </w:pPr>
                  <w:r w:rsidRPr="009E14A3">
                    <w:rPr>
                      <w:sz w:val="22"/>
                      <w:szCs w:val="22"/>
                    </w:rPr>
                    <w:t xml:space="preserve">Communication </w:t>
                  </w:r>
                </w:p>
                <w:p w14:paraId="469D5F73" w14:textId="3DEF7D86" w:rsidR="004C1107" w:rsidRPr="009E14A3" w:rsidRDefault="004C1107" w:rsidP="00715629">
                  <w:pPr>
                    <w:pStyle w:val="TableRow"/>
                    <w:ind w:left="0" w:right="0"/>
                    <w:rPr>
                      <w:sz w:val="22"/>
                      <w:szCs w:val="22"/>
                    </w:rPr>
                  </w:pPr>
                  <w:r w:rsidRPr="009E14A3">
                    <w:rPr>
                      <w:sz w:val="22"/>
                      <w:szCs w:val="22"/>
                    </w:rPr>
                    <w:lastRenderedPageBreak/>
                    <w:t>and Language</w:t>
                  </w:r>
                </w:p>
              </w:tc>
              <w:tc>
                <w:tcPr>
                  <w:tcW w:w="824" w:type="dxa"/>
                </w:tcPr>
                <w:p w14:paraId="1E63922D" w14:textId="0A938295" w:rsidR="004C1107" w:rsidRPr="009E14A3" w:rsidRDefault="004C1107" w:rsidP="00715629">
                  <w:pPr>
                    <w:pStyle w:val="TableRow"/>
                    <w:ind w:left="0" w:right="0"/>
                    <w:rPr>
                      <w:sz w:val="22"/>
                      <w:szCs w:val="22"/>
                    </w:rPr>
                  </w:pPr>
                  <w:r w:rsidRPr="009E14A3">
                    <w:rPr>
                      <w:sz w:val="22"/>
                      <w:szCs w:val="22"/>
                    </w:rPr>
                    <w:lastRenderedPageBreak/>
                    <w:t>81%</w:t>
                  </w:r>
                </w:p>
              </w:tc>
              <w:tc>
                <w:tcPr>
                  <w:tcW w:w="779" w:type="dxa"/>
                </w:tcPr>
                <w:p w14:paraId="418DE9E2" w14:textId="0FC1226E" w:rsidR="004C1107" w:rsidRPr="009E14A3" w:rsidRDefault="004C1107" w:rsidP="00715629">
                  <w:pPr>
                    <w:pStyle w:val="TableRow"/>
                    <w:ind w:left="0" w:right="0"/>
                    <w:rPr>
                      <w:sz w:val="22"/>
                      <w:szCs w:val="22"/>
                    </w:rPr>
                  </w:pPr>
                  <w:r w:rsidRPr="009E14A3">
                    <w:rPr>
                      <w:sz w:val="22"/>
                      <w:szCs w:val="22"/>
                    </w:rPr>
                    <w:t>83%</w:t>
                  </w:r>
                </w:p>
              </w:tc>
              <w:tc>
                <w:tcPr>
                  <w:tcW w:w="1551" w:type="dxa"/>
                </w:tcPr>
                <w:p w14:paraId="6CEB8231" w14:textId="0B3D1651" w:rsidR="004C1107" w:rsidRPr="009E14A3" w:rsidRDefault="004C1107" w:rsidP="00715629">
                  <w:pPr>
                    <w:pStyle w:val="TableRow"/>
                    <w:ind w:left="0" w:right="0"/>
                    <w:rPr>
                      <w:sz w:val="22"/>
                      <w:szCs w:val="22"/>
                    </w:rPr>
                  </w:pPr>
                  <w:r w:rsidRPr="009E14A3">
                    <w:rPr>
                      <w:sz w:val="22"/>
                      <w:szCs w:val="22"/>
                    </w:rPr>
                    <w:t>75%</w:t>
                  </w:r>
                </w:p>
              </w:tc>
            </w:tr>
            <w:tr w:rsidR="004C1107" w:rsidRPr="009E14A3" w14:paraId="6BF712AB" w14:textId="77777777" w:rsidTr="004C1107">
              <w:tc>
                <w:tcPr>
                  <w:tcW w:w="1328" w:type="dxa"/>
                </w:tcPr>
                <w:p w14:paraId="53F1B552" w14:textId="4BD4AB13" w:rsidR="004C1107" w:rsidRPr="009E14A3" w:rsidRDefault="004C1107" w:rsidP="00715629">
                  <w:pPr>
                    <w:pStyle w:val="TableRow"/>
                    <w:ind w:left="0" w:right="0"/>
                    <w:rPr>
                      <w:sz w:val="22"/>
                      <w:szCs w:val="22"/>
                    </w:rPr>
                  </w:pPr>
                  <w:r w:rsidRPr="009E14A3">
                    <w:rPr>
                      <w:sz w:val="22"/>
                      <w:szCs w:val="22"/>
                    </w:rPr>
                    <w:t>LAU</w:t>
                  </w:r>
                </w:p>
              </w:tc>
              <w:tc>
                <w:tcPr>
                  <w:tcW w:w="824" w:type="dxa"/>
                </w:tcPr>
                <w:p w14:paraId="7AC5FFD3" w14:textId="08F762D5" w:rsidR="004C1107" w:rsidRPr="009E14A3" w:rsidRDefault="004C1107" w:rsidP="00715629">
                  <w:pPr>
                    <w:pStyle w:val="TableRow"/>
                    <w:ind w:left="0" w:right="0"/>
                    <w:rPr>
                      <w:sz w:val="22"/>
                      <w:szCs w:val="22"/>
                    </w:rPr>
                  </w:pPr>
                  <w:r w:rsidRPr="009E14A3">
                    <w:rPr>
                      <w:sz w:val="22"/>
                      <w:szCs w:val="22"/>
                    </w:rPr>
                    <w:t>85%</w:t>
                  </w:r>
                </w:p>
              </w:tc>
              <w:tc>
                <w:tcPr>
                  <w:tcW w:w="779" w:type="dxa"/>
                </w:tcPr>
                <w:p w14:paraId="7CBC12A1" w14:textId="63CB717F" w:rsidR="004C1107" w:rsidRPr="009E14A3" w:rsidRDefault="004C1107" w:rsidP="00715629">
                  <w:pPr>
                    <w:pStyle w:val="TableRow"/>
                    <w:ind w:left="0" w:right="0"/>
                    <w:rPr>
                      <w:sz w:val="22"/>
                      <w:szCs w:val="22"/>
                    </w:rPr>
                  </w:pPr>
                  <w:r w:rsidRPr="009E14A3">
                    <w:rPr>
                      <w:sz w:val="22"/>
                      <w:szCs w:val="22"/>
                    </w:rPr>
                    <w:t>87%</w:t>
                  </w:r>
                </w:p>
              </w:tc>
              <w:tc>
                <w:tcPr>
                  <w:tcW w:w="1551" w:type="dxa"/>
                </w:tcPr>
                <w:p w14:paraId="18F43738" w14:textId="7C524F60" w:rsidR="004C1107" w:rsidRPr="009E14A3" w:rsidRDefault="004C1107" w:rsidP="00715629">
                  <w:pPr>
                    <w:pStyle w:val="TableRow"/>
                    <w:ind w:left="0" w:right="0"/>
                    <w:rPr>
                      <w:sz w:val="22"/>
                      <w:szCs w:val="22"/>
                    </w:rPr>
                  </w:pPr>
                  <w:r w:rsidRPr="009E14A3">
                    <w:rPr>
                      <w:sz w:val="22"/>
                      <w:szCs w:val="22"/>
                    </w:rPr>
                    <w:t>81%</w:t>
                  </w:r>
                </w:p>
              </w:tc>
            </w:tr>
            <w:tr w:rsidR="004C1107" w:rsidRPr="009E14A3" w14:paraId="139B86DF" w14:textId="77777777" w:rsidTr="004C1107">
              <w:tc>
                <w:tcPr>
                  <w:tcW w:w="1328" w:type="dxa"/>
                </w:tcPr>
                <w:p w14:paraId="00941439" w14:textId="2AA47CB4" w:rsidR="004C1107" w:rsidRPr="009E14A3" w:rsidRDefault="004C1107" w:rsidP="00715629">
                  <w:pPr>
                    <w:pStyle w:val="TableRow"/>
                    <w:ind w:left="0" w:right="0"/>
                    <w:rPr>
                      <w:sz w:val="22"/>
                      <w:szCs w:val="22"/>
                    </w:rPr>
                  </w:pPr>
                  <w:r w:rsidRPr="009E14A3">
                    <w:rPr>
                      <w:sz w:val="22"/>
                      <w:szCs w:val="22"/>
                    </w:rPr>
                    <w:t xml:space="preserve">Speaking </w:t>
                  </w:r>
                </w:p>
              </w:tc>
              <w:tc>
                <w:tcPr>
                  <w:tcW w:w="824" w:type="dxa"/>
                </w:tcPr>
                <w:p w14:paraId="4BD889FA" w14:textId="6D828A03" w:rsidR="004C1107" w:rsidRPr="009E14A3" w:rsidRDefault="004C1107" w:rsidP="00715629">
                  <w:pPr>
                    <w:pStyle w:val="TableRow"/>
                    <w:ind w:left="0" w:right="0"/>
                    <w:rPr>
                      <w:sz w:val="22"/>
                      <w:szCs w:val="22"/>
                    </w:rPr>
                  </w:pPr>
                  <w:r w:rsidRPr="009E14A3">
                    <w:rPr>
                      <w:sz w:val="22"/>
                      <w:szCs w:val="22"/>
                    </w:rPr>
                    <w:t>82%</w:t>
                  </w:r>
                </w:p>
              </w:tc>
              <w:tc>
                <w:tcPr>
                  <w:tcW w:w="779" w:type="dxa"/>
                </w:tcPr>
                <w:p w14:paraId="2E167F8E" w14:textId="15129602" w:rsidR="004C1107" w:rsidRPr="009E14A3" w:rsidRDefault="004C1107" w:rsidP="00715629">
                  <w:pPr>
                    <w:pStyle w:val="TableRow"/>
                    <w:ind w:left="0" w:right="0"/>
                    <w:rPr>
                      <w:sz w:val="22"/>
                      <w:szCs w:val="22"/>
                    </w:rPr>
                  </w:pPr>
                  <w:r w:rsidRPr="009E14A3">
                    <w:rPr>
                      <w:sz w:val="22"/>
                      <w:szCs w:val="22"/>
                    </w:rPr>
                    <w:t>83%</w:t>
                  </w:r>
                </w:p>
              </w:tc>
              <w:tc>
                <w:tcPr>
                  <w:tcW w:w="1551" w:type="dxa"/>
                </w:tcPr>
                <w:p w14:paraId="4D32094C" w14:textId="562394F6" w:rsidR="004C1107" w:rsidRPr="009E14A3" w:rsidRDefault="004C1107" w:rsidP="00715629">
                  <w:pPr>
                    <w:pStyle w:val="TableRow"/>
                    <w:ind w:left="0" w:right="0"/>
                    <w:rPr>
                      <w:sz w:val="22"/>
                      <w:szCs w:val="22"/>
                    </w:rPr>
                  </w:pPr>
                  <w:r w:rsidRPr="009E14A3">
                    <w:rPr>
                      <w:sz w:val="22"/>
                      <w:szCs w:val="22"/>
                    </w:rPr>
                    <w:t>78%</w:t>
                  </w:r>
                </w:p>
              </w:tc>
            </w:tr>
          </w:tbl>
          <w:p w14:paraId="18AF028C" w14:textId="42536ABF" w:rsidR="00BF3282" w:rsidRPr="009E14A3" w:rsidRDefault="00BF3282" w:rsidP="00715629">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16C4F" w14:textId="29B3CCEF" w:rsidR="004811F4" w:rsidRPr="009E14A3" w:rsidRDefault="009B66A0" w:rsidP="00715629">
            <w:pPr>
              <w:pStyle w:val="TableRowCentered"/>
              <w:ind w:left="0" w:right="0"/>
              <w:jc w:val="left"/>
              <w:rPr>
                <w:sz w:val="22"/>
                <w:szCs w:val="22"/>
              </w:rPr>
            </w:pPr>
            <w:r w:rsidRPr="009E14A3">
              <w:rPr>
                <w:sz w:val="22"/>
                <w:szCs w:val="22"/>
              </w:rPr>
              <w:lastRenderedPageBreak/>
              <w:t xml:space="preserve">Success will be evident through disadvantaged pupils demonstrating stronger expressive and receptive vocabulary, improved speech clarity and sentence structure, and increased confidence in talk-rich activities. Assessment points across the EYFS will show more pupils meeting age-related expectations in Communication and </w:t>
            </w:r>
            <w:r w:rsidRPr="009E14A3">
              <w:rPr>
                <w:sz w:val="22"/>
                <w:szCs w:val="22"/>
              </w:rPr>
              <w:lastRenderedPageBreak/>
              <w:t>Language, with progress data indicating accelerated gains from targeted interventions and a narrowing of the vocabulary gap between disadvantaged and non-disadvantaged pupils.</w:t>
            </w:r>
          </w:p>
        </w:tc>
      </w:tr>
    </w:tbl>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E435F85" w:rsidR="00E66558" w:rsidRDefault="009D71E8">
      <w:r>
        <w:t xml:space="preserve">Budgeted cost: £ </w:t>
      </w:r>
      <w:r w:rsidR="00D96FB3">
        <w:t>95,555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E49F830" w:rsidR="00E66558" w:rsidRDefault="00D774E2" w:rsidP="00C31636">
            <w:pPr>
              <w:pStyle w:val="TableRow"/>
              <w:ind w:left="0" w:right="0"/>
            </w:pPr>
            <w:r w:rsidRPr="00AB2FEA">
              <w:rPr>
                <w:sz w:val="22"/>
                <w:szCs w:val="22"/>
              </w:rPr>
              <w:t>Daily teaching of synthetic phonics in Reception and Key Stage 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069B177" w:rsidR="00E66558" w:rsidRDefault="003E6EE9" w:rsidP="00C31636">
            <w:pPr>
              <w:pStyle w:val="TableRowCentered"/>
              <w:ind w:left="0" w:right="0"/>
              <w:jc w:val="left"/>
              <w:rPr>
                <w:sz w:val="22"/>
              </w:rPr>
            </w:pPr>
            <w:hyperlink r:id="rId8" w:history="1">
              <w:r w:rsidR="00D774E2" w:rsidRPr="00D774E2">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857B068" w:rsidR="00E66558" w:rsidRDefault="00625913" w:rsidP="00C31636">
            <w:pPr>
              <w:pStyle w:val="TableRowCentered"/>
              <w:ind w:left="0" w:right="0"/>
              <w:jc w:val="left"/>
              <w:rPr>
                <w:sz w:val="22"/>
              </w:rPr>
            </w:pPr>
            <w:r>
              <w:rPr>
                <w:sz w:val="22"/>
              </w:rPr>
              <w:t>2,3</w:t>
            </w:r>
          </w:p>
        </w:tc>
      </w:tr>
      <w:tr w:rsidR="003847B5" w14:paraId="308C2DF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686E" w14:textId="35BEE917" w:rsidR="003847B5" w:rsidRPr="00AB2FEA" w:rsidRDefault="003847B5" w:rsidP="00C31636">
            <w:pPr>
              <w:pStyle w:val="TableRow"/>
              <w:ind w:left="0" w:right="0"/>
              <w:rPr>
                <w:sz w:val="22"/>
                <w:szCs w:val="22"/>
              </w:rPr>
            </w:pPr>
            <w:r>
              <w:rPr>
                <w:sz w:val="22"/>
                <w:szCs w:val="22"/>
              </w:rPr>
              <w:t>Time for phonic lead to monitor subject and deliver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AE8" w14:textId="34E9AA5D" w:rsidR="003847B5" w:rsidRDefault="003E6EE9" w:rsidP="00C31636">
            <w:pPr>
              <w:pStyle w:val="TableRowCentered"/>
              <w:ind w:left="0" w:right="0"/>
              <w:jc w:val="left"/>
            </w:pPr>
            <w:hyperlink r:id="rId9" w:history="1">
              <w:r w:rsidR="003847B5" w:rsidRPr="003847B5">
                <w:rPr>
                  <w:rStyle w:val="Hyperlink"/>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855E" w14:textId="2A4D17E8" w:rsidR="003847B5" w:rsidRDefault="003847B5" w:rsidP="00C31636">
            <w:pPr>
              <w:pStyle w:val="TableRowCentered"/>
              <w:ind w:left="0" w:right="0"/>
              <w:jc w:val="left"/>
              <w:rPr>
                <w:sz w:val="22"/>
              </w:rPr>
            </w:pPr>
            <w:r>
              <w:rPr>
                <w:sz w:val="22"/>
              </w:rPr>
              <w:t>2,3</w:t>
            </w:r>
          </w:p>
        </w:tc>
      </w:tr>
      <w:tr w:rsidR="003847B5" w14:paraId="7321258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EAE51" w14:textId="0D95E93D" w:rsidR="003847B5" w:rsidRDefault="003847B5" w:rsidP="00C31636">
            <w:pPr>
              <w:pStyle w:val="TableRow"/>
              <w:ind w:left="0" w:right="0"/>
              <w:rPr>
                <w:sz w:val="22"/>
                <w:szCs w:val="22"/>
              </w:rPr>
            </w:pPr>
            <w:r>
              <w:rPr>
                <w:sz w:val="22"/>
                <w:szCs w:val="22"/>
              </w:rPr>
              <w:t xml:space="preserve">Time for assessment co-ordinator to analyse data and </w:t>
            </w:r>
            <w:r w:rsidR="007C63BD">
              <w:rPr>
                <w:sz w:val="22"/>
                <w:szCs w:val="22"/>
              </w:rPr>
              <w:t>monitor impact of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0064" w14:textId="26BDEADE" w:rsidR="003847B5" w:rsidRPr="003847B5" w:rsidRDefault="003E6EE9" w:rsidP="00C31636">
            <w:pPr>
              <w:pStyle w:val="TableRowCentered"/>
              <w:ind w:left="0" w:right="0"/>
              <w:jc w:val="left"/>
            </w:pPr>
            <w:hyperlink r:id="rId10" w:history="1">
              <w:r w:rsidR="009A0ACF" w:rsidRPr="009A0ACF">
                <w:rPr>
                  <w:rStyle w:val="Hyperlink"/>
                  <w:sz w:val="22"/>
                  <w:szCs w:val="18"/>
                </w:rPr>
                <w:t>Teaching Assistant Interventions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C131" w14:textId="03CC956E" w:rsidR="003847B5" w:rsidRDefault="009A0ACF" w:rsidP="00C31636">
            <w:pPr>
              <w:pStyle w:val="TableRowCentered"/>
              <w:ind w:left="0" w:right="0"/>
              <w:jc w:val="left"/>
              <w:rPr>
                <w:sz w:val="22"/>
              </w:rPr>
            </w:pPr>
            <w:r>
              <w:rPr>
                <w:sz w:val="22"/>
              </w:rPr>
              <w:t>1,2,3,4,5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E558467" w:rsidR="00E66558" w:rsidRPr="00AB2FEA" w:rsidRDefault="00AB2FEA" w:rsidP="00C31636">
            <w:pPr>
              <w:pStyle w:val="TableRow"/>
              <w:ind w:left="0" w:right="0"/>
              <w:rPr>
                <w:iCs/>
                <w:sz w:val="22"/>
              </w:rPr>
            </w:pPr>
            <w:r>
              <w:rPr>
                <w:iCs/>
                <w:sz w:val="22"/>
              </w:rPr>
              <w:t>Pupil Progress Meetings to discuss the provision and progress of disadvantaged children, identifying interventions to support learning and accelerate progress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37CFBC9" w:rsidR="00E66558" w:rsidRDefault="00AB2FEA" w:rsidP="00C31636">
            <w:pPr>
              <w:pStyle w:val="TableRowCentered"/>
              <w:ind w:left="0" w:right="0"/>
              <w:jc w:val="left"/>
              <w:rPr>
                <w:sz w:val="22"/>
              </w:rPr>
            </w:pPr>
            <w:r w:rsidRPr="00AB2FEA">
              <w:rPr>
                <w:sz w:val="22"/>
              </w:rPr>
              <w:t>The leadership and management of the school must regularly monitor the achievement of pupils in receipt of PPG through the analysis of the school’s summative data. Also, leadership would provide additional, timetabled opportunities to discuss the achievement of pupils in receipt of PPG.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07ADCFE" w:rsidR="00E66558" w:rsidRDefault="00625913" w:rsidP="00C31636">
            <w:pPr>
              <w:pStyle w:val="TableRowCentered"/>
              <w:ind w:left="0" w:right="0"/>
              <w:jc w:val="left"/>
              <w:rPr>
                <w:sz w:val="22"/>
              </w:rPr>
            </w:pPr>
            <w:r>
              <w:rPr>
                <w:sz w:val="22"/>
              </w:rPr>
              <w:t>2,3,4</w:t>
            </w:r>
          </w:p>
        </w:tc>
      </w:tr>
      <w:tr w:rsidR="00A042B9" w14:paraId="5C51C0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A548" w14:textId="1EBD409D" w:rsidR="00A042B9" w:rsidRDefault="00A042B9" w:rsidP="00C31636">
            <w:pPr>
              <w:pStyle w:val="TableRow"/>
              <w:ind w:left="0" w:right="0"/>
              <w:rPr>
                <w:iCs/>
                <w:sz w:val="22"/>
              </w:rPr>
            </w:pPr>
            <w:r>
              <w:rPr>
                <w:iCs/>
                <w:sz w:val="22"/>
              </w:rPr>
              <w:t xml:space="preserve">Access to CPD for </w:t>
            </w:r>
            <w:r w:rsidR="00EE6C7E">
              <w:rPr>
                <w:iCs/>
                <w:sz w:val="22"/>
              </w:rPr>
              <w:t>all staff (leaders, teachers, supports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40C4" w14:textId="77777777" w:rsidR="00A042B9" w:rsidRDefault="00A042B9" w:rsidP="00C31636">
            <w:pPr>
              <w:pStyle w:val="TableRowCentered"/>
              <w:ind w:left="0" w:right="0"/>
              <w:jc w:val="left"/>
              <w:rPr>
                <w:sz w:val="22"/>
                <w:szCs w:val="22"/>
              </w:rPr>
            </w:pPr>
            <w:r>
              <w:rPr>
                <w:sz w:val="22"/>
                <w:szCs w:val="22"/>
              </w:rPr>
              <w:t>Opportunities for leaders to discuss good practice with other local school.</w:t>
            </w:r>
          </w:p>
          <w:p w14:paraId="1606D0DE" w14:textId="77777777" w:rsidR="00A042B9" w:rsidRDefault="00A042B9" w:rsidP="00C31636">
            <w:pPr>
              <w:pStyle w:val="TableRowCentered"/>
              <w:ind w:left="0" w:right="0"/>
              <w:jc w:val="left"/>
              <w:rPr>
                <w:sz w:val="22"/>
                <w:szCs w:val="22"/>
              </w:rPr>
            </w:pPr>
            <w:r>
              <w:rPr>
                <w:sz w:val="22"/>
                <w:szCs w:val="22"/>
              </w:rPr>
              <w:t>Updates for subject areas shared and key staff informed at school</w:t>
            </w:r>
          </w:p>
          <w:p w14:paraId="586AE90C" w14:textId="2E488ABB" w:rsidR="00A042B9" w:rsidRDefault="00A042B9" w:rsidP="00C31636">
            <w:pPr>
              <w:pStyle w:val="TableRowCentered"/>
              <w:ind w:left="0" w:right="0"/>
              <w:jc w:val="left"/>
              <w:rPr>
                <w:sz w:val="22"/>
                <w:szCs w:val="22"/>
              </w:rPr>
            </w:pPr>
            <w:r>
              <w:rPr>
                <w:sz w:val="22"/>
                <w:szCs w:val="22"/>
              </w:rPr>
              <w:t xml:space="preserve">Staff are confident </w:t>
            </w:r>
            <w:r w:rsidR="00EE6C7E">
              <w:rPr>
                <w:sz w:val="22"/>
                <w:szCs w:val="22"/>
              </w:rPr>
              <w:t>in their role</w:t>
            </w:r>
          </w:p>
          <w:p w14:paraId="0FECAFD3" w14:textId="4FE2EF11" w:rsidR="00EE6C7E" w:rsidRPr="00AB2FEA" w:rsidRDefault="003E6EE9" w:rsidP="00C31636">
            <w:pPr>
              <w:pStyle w:val="TableRowCentered"/>
              <w:ind w:left="0" w:right="0"/>
              <w:jc w:val="left"/>
              <w:rPr>
                <w:sz w:val="22"/>
                <w:szCs w:val="22"/>
              </w:rPr>
            </w:pPr>
            <w:hyperlink r:id="rId11" w:history="1">
              <w:r w:rsidR="00EE6C7E" w:rsidRPr="00EE6C7E">
                <w:rPr>
                  <w:color w:val="0000FF"/>
                  <w:sz w:val="22"/>
                  <w:szCs w:val="22"/>
                  <w:u w:val="single"/>
                </w:rPr>
                <w:t>Deployment of Teaching Assistants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1DE17" w14:textId="15460D75" w:rsidR="00A042B9" w:rsidRDefault="00625913" w:rsidP="00C31636">
            <w:pPr>
              <w:pStyle w:val="TableRowCentered"/>
              <w:ind w:left="0" w:right="0"/>
              <w:jc w:val="left"/>
              <w:rPr>
                <w:sz w:val="22"/>
              </w:rPr>
            </w:pPr>
            <w:r>
              <w:rPr>
                <w:sz w:val="22"/>
              </w:rPr>
              <w:t>2,3,5</w:t>
            </w:r>
          </w:p>
        </w:tc>
      </w:tr>
      <w:tr w:rsidR="00AB2FEA" w14:paraId="7C58D3A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ACC80" w14:textId="66D86B58" w:rsidR="00AB2FEA" w:rsidRDefault="00AB2FEA" w:rsidP="00C31636">
            <w:pPr>
              <w:pStyle w:val="TableRow"/>
              <w:ind w:left="0" w:right="0"/>
              <w:rPr>
                <w:iCs/>
                <w:sz w:val="22"/>
              </w:rPr>
            </w:pPr>
            <w:r>
              <w:rPr>
                <w:iCs/>
                <w:sz w:val="22"/>
              </w:rPr>
              <w:t>Use of AHT to monitor teaching and learning and provide for teachers where needed to develop their inclusive practice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368B" w14:textId="65168F8F" w:rsidR="00AB2FEA" w:rsidRPr="00AB2FEA" w:rsidRDefault="003E6EE9" w:rsidP="00C31636">
            <w:pPr>
              <w:pStyle w:val="TableRowCentered"/>
              <w:ind w:left="0" w:right="0"/>
              <w:jc w:val="left"/>
              <w:rPr>
                <w:sz w:val="22"/>
              </w:rPr>
            </w:pPr>
            <w:hyperlink r:id="rId12" w:history="1">
              <w:r w:rsidR="00AB2FEA" w:rsidRPr="00AB2FEA">
                <w:rPr>
                  <w:color w:val="0000FF"/>
                  <w:sz w:val="22"/>
                  <w:szCs w:val="22"/>
                  <w:u w:val="single"/>
                </w:rPr>
                <w:t>EEF blog: Moving from ‘differentiation’ to ‘adaptive teaching’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6FDA" w14:textId="3682FADC" w:rsidR="00AB2FEA" w:rsidRDefault="00625913" w:rsidP="00C31636">
            <w:pPr>
              <w:pStyle w:val="TableRowCentered"/>
              <w:ind w:left="0" w:right="0"/>
              <w:jc w:val="left"/>
              <w:rPr>
                <w:sz w:val="22"/>
              </w:rPr>
            </w:pPr>
            <w:r>
              <w:rPr>
                <w:sz w:val="22"/>
              </w:rPr>
              <w:t>2,3,5</w:t>
            </w:r>
          </w:p>
        </w:tc>
      </w:tr>
      <w:tr w:rsidR="005A4BAE" w14:paraId="132208E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E397" w14:textId="640CA53B" w:rsidR="005A4BAE" w:rsidRDefault="005A4BAE" w:rsidP="00C31636">
            <w:pPr>
              <w:pStyle w:val="TableRow"/>
              <w:ind w:left="0" w:right="0"/>
              <w:rPr>
                <w:iCs/>
                <w:sz w:val="22"/>
              </w:rPr>
            </w:pPr>
            <w:r>
              <w:rPr>
                <w:iCs/>
                <w:sz w:val="22"/>
              </w:rPr>
              <w:lastRenderedPageBreak/>
              <w:t>Planned release time for four teachers to compete NPQ</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0C37" w14:textId="47C57CEF" w:rsidR="005A4BAE" w:rsidRPr="00AB2FEA" w:rsidRDefault="003E6EE9" w:rsidP="00C31636">
            <w:pPr>
              <w:pStyle w:val="TableRowCentered"/>
              <w:ind w:left="0" w:right="0"/>
              <w:jc w:val="left"/>
              <w:rPr>
                <w:sz w:val="22"/>
                <w:szCs w:val="22"/>
              </w:rPr>
            </w:pPr>
            <w:hyperlink r:id="rId13" w:history="1">
              <w:r w:rsidR="005A4BAE" w:rsidRPr="005A4BAE">
                <w:rPr>
                  <w:color w:val="0000FF"/>
                  <w:sz w:val="22"/>
                  <w:szCs w:val="22"/>
                  <w:u w:val="single"/>
                </w:rPr>
                <w:t>Effective Professional Development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E9DA1" w14:textId="240D886D" w:rsidR="005A4BAE" w:rsidRDefault="005A4BAE" w:rsidP="00C31636">
            <w:pPr>
              <w:pStyle w:val="TableRowCentered"/>
              <w:ind w:left="0" w:right="0"/>
              <w:jc w:val="left"/>
              <w:rPr>
                <w:sz w:val="22"/>
              </w:rPr>
            </w:pPr>
            <w:r>
              <w:rPr>
                <w:sz w:val="22"/>
              </w:rPr>
              <w:t>2,3,5</w:t>
            </w:r>
          </w:p>
        </w:tc>
      </w:tr>
      <w:tr w:rsidR="00CD5E2C" w14:paraId="5EA5C79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9CA0" w14:textId="477627E8" w:rsidR="00CD5E2C" w:rsidRDefault="00CD5E2C" w:rsidP="00C31636">
            <w:pPr>
              <w:pStyle w:val="TableRow"/>
              <w:ind w:left="0" w:right="0"/>
              <w:rPr>
                <w:iCs/>
                <w:sz w:val="22"/>
              </w:rPr>
            </w:pPr>
            <w:r>
              <w:rPr>
                <w:iCs/>
                <w:sz w:val="22"/>
              </w:rPr>
              <w:t>Release time for subject leaders to oversee and enhance teaching and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0EB5" w14:textId="77777777" w:rsidR="00CD5E2C" w:rsidRDefault="00CD5E2C" w:rsidP="00C31636">
            <w:pPr>
              <w:pStyle w:val="TableRowCentered"/>
              <w:ind w:left="0" w:right="0"/>
              <w:jc w:val="left"/>
              <w:rPr>
                <w:sz w:val="22"/>
                <w:szCs w:val="22"/>
              </w:rPr>
            </w:pPr>
            <w:r>
              <w:rPr>
                <w:sz w:val="22"/>
                <w:szCs w:val="22"/>
              </w:rPr>
              <w:t>High quality teaching is key to improving learning outcomes</w:t>
            </w:r>
          </w:p>
          <w:p w14:paraId="7C71AC9E" w14:textId="10CE5B49" w:rsidR="00CD5E2C" w:rsidRPr="00AB2FEA" w:rsidRDefault="003E6EE9" w:rsidP="00C31636">
            <w:pPr>
              <w:pStyle w:val="TableRowCentered"/>
              <w:ind w:left="0" w:right="0"/>
              <w:jc w:val="left"/>
              <w:rPr>
                <w:sz w:val="22"/>
                <w:szCs w:val="22"/>
              </w:rPr>
            </w:pPr>
            <w:hyperlink r:id="rId14" w:history="1">
              <w:r w:rsidR="00CD5E2C" w:rsidRPr="00CD5E2C">
                <w:rPr>
                  <w:rStyle w:val="Hyperlink"/>
                  <w:sz w:val="22"/>
                  <w:szCs w:val="22"/>
                </w:rPr>
                <w:t>1. High-quality teaching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2B66" w14:textId="6422F048" w:rsidR="00CD5E2C" w:rsidRDefault="00625913" w:rsidP="00C31636">
            <w:pPr>
              <w:pStyle w:val="TableRowCentered"/>
              <w:ind w:left="0" w:right="0"/>
              <w:jc w:val="left"/>
              <w:rPr>
                <w:sz w:val="22"/>
              </w:rPr>
            </w:pPr>
            <w:r>
              <w:rPr>
                <w:sz w:val="22"/>
              </w:rPr>
              <w:t>2,3,5</w:t>
            </w:r>
          </w:p>
        </w:tc>
      </w:tr>
      <w:tr w:rsidR="005A4BAE" w14:paraId="6BC8A2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22F1" w14:textId="6CF80232" w:rsidR="005A4BAE" w:rsidRPr="005A4BAE" w:rsidRDefault="005A4BAE" w:rsidP="00C31636">
            <w:pPr>
              <w:pStyle w:val="TableRow"/>
              <w:ind w:left="0" w:right="0"/>
              <w:rPr>
                <w:iCs/>
                <w:sz w:val="22"/>
                <w:szCs w:val="22"/>
              </w:rPr>
            </w:pPr>
            <w:r w:rsidRPr="005A4BAE">
              <w:rPr>
                <w:sz w:val="22"/>
                <w:szCs w:val="22"/>
              </w:rPr>
              <w:t>Learning Mentor to support identified pupils to support behaviour for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6999" w14:textId="138B5422" w:rsidR="005A4BAE" w:rsidRDefault="005A4BAE" w:rsidP="00C31636">
            <w:pPr>
              <w:pStyle w:val="TableRowCentered"/>
              <w:ind w:left="0" w:right="0"/>
              <w:jc w:val="left"/>
              <w:rPr>
                <w:sz w:val="22"/>
                <w:szCs w:val="22"/>
              </w:rPr>
            </w:pPr>
            <w:r w:rsidRPr="005A4BAE">
              <w:rPr>
                <w:sz w:val="22"/>
                <w:szCs w:val="22"/>
              </w:rPr>
              <w:t>It is essential that we know our disadvantaged children and can spot triggers which will affect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3B160" w14:textId="63B9735B" w:rsidR="005A4BAE" w:rsidRDefault="005A4BAE" w:rsidP="00C31636">
            <w:pPr>
              <w:pStyle w:val="TableRowCentered"/>
              <w:ind w:left="0" w:right="0"/>
              <w:jc w:val="left"/>
              <w:rPr>
                <w:sz w:val="22"/>
              </w:rPr>
            </w:pPr>
            <w:r>
              <w:rPr>
                <w:sz w:val="22"/>
              </w:rPr>
              <w:t>1,2,3,4</w:t>
            </w:r>
          </w:p>
        </w:tc>
      </w:tr>
      <w:tr w:rsidR="00CD5E2C" w14:paraId="0B123D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8A620" w14:textId="77777777" w:rsidR="00CD5E2C" w:rsidRDefault="00CD5E2C" w:rsidP="00C31636">
            <w:pPr>
              <w:pStyle w:val="TableRow"/>
              <w:ind w:left="0" w:right="0"/>
              <w:rPr>
                <w:iCs/>
                <w:sz w:val="22"/>
              </w:rPr>
            </w:pPr>
            <w:r>
              <w:rPr>
                <w:iCs/>
                <w:sz w:val="22"/>
              </w:rPr>
              <w:t>Annual subscriptions for schemes of work which support the curriculum:</w:t>
            </w:r>
          </w:p>
          <w:p w14:paraId="349F8DE8" w14:textId="77777777" w:rsidR="00CD5E2C" w:rsidRDefault="00CD5E2C" w:rsidP="00CD5E2C">
            <w:pPr>
              <w:pStyle w:val="TableRow"/>
              <w:numPr>
                <w:ilvl w:val="0"/>
                <w:numId w:val="19"/>
              </w:numPr>
              <w:ind w:right="0"/>
              <w:rPr>
                <w:iCs/>
                <w:sz w:val="22"/>
              </w:rPr>
            </w:pPr>
            <w:r>
              <w:rPr>
                <w:iCs/>
                <w:sz w:val="22"/>
              </w:rPr>
              <w:t>Little Wandle</w:t>
            </w:r>
          </w:p>
          <w:p w14:paraId="5ECAFE15" w14:textId="77777777" w:rsidR="00CD5E2C" w:rsidRDefault="00CD5E2C" w:rsidP="00CD5E2C">
            <w:pPr>
              <w:pStyle w:val="TableRow"/>
              <w:numPr>
                <w:ilvl w:val="0"/>
                <w:numId w:val="19"/>
              </w:numPr>
              <w:ind w:right="0"/>
              <w:rPr>
                <w:iCs/>
                <w:sz w:val="22"/>
              </w:rPr>
            </w:pPr>
            <w:r>
              <w:rPr>
                <w:iCs/>
                <w:sz w:val="22"/>
              </w:rPr>
              <w:t>Literacy Tree</w:t>
            </w:r>
          </w:p>
          <w:p w14:paraId="792D2996" w14:textId="77777777" w:rsidR="00CD5E2C" w:rsidRDefault="00CD5E2C" w:rsidP="00CD5E2C">
            <w:pPr>
              <w:pStyle w:val="TableRow"/>
              <w:numPr>
                <w:ilvl w:val="0"/>
                <w:numId w:val="19"/>
              </w:numPr>
              <w:ind w:right="0"/>
              <w:rPr>
                <w:iCs/>
                <w:sz w:val="22"/>
              </w:rPr>
            </w:pPr>
            <w:r>
              <w:rPr>
                <w:iCs/>
                <w:sz w:val="22"/>
              </w:rPr>
              <w:t>White Rose</w:t>
            </w:r>
          </w:p>
          <w:p w14:paraId="1FBB6D2B" w14:textId="77777777" w:rsidR="00CD5E2C" w:rsidRDefault="00420487" w:rsidP="00CD5E2C">
            <w:pPr>
              <w:pStyle w:val="TableRow"/>
              <w:numPr>
                <w:ilvl w:val="0"/>
                <w:numId w:val="19"/>
              </w:numPr>
              <w:ind w:right="0"/>
              <w:rPr>
                <w:iCs/>
                <w:sz w:val="22"/>
              </w:rPr>
            </w:pPr>
            <w:proofErr w:type="spellStart"/>
            <w:r>
              <w:rPr>
                <w:iCs/>
                <w:sz w:val="22"/>
              </w:rPr>
              <w:t>Widgit</w:t>
            </w:r>
            <w:proofErr w:type="spellEnd"/>
          </w:p>
          <w:p w14:paraId="0E67591E" w14:textId="193F4EA8" w:rsidR="00420487" w:rsidRDefault="00420487" w:rsidP="00CD5E2C">
            <w:pPr>
              <w:pStyle w:val="TableRow"/>
              <w:numPr>
                <w:ilvl w:val="0"/>
                <w:numId w:val="19"/>
              </w:numPr>
              <w:ind w:right="0"/>
              <w:rPr>
                <w:iCs/>
                <w:sz w:val="22"/>
              </w:rPr>
            </w:pPr>
            <w:r>
              <w:rPr>
                <w:iCs/>
                <w:sz w:val="22"/>
              </w:rPr>
              <w:t>Jigsaw</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4749" w14:textId="77777777" w:rsidR="00CD5E2C" w:rsidRDefault="003E6EE9" w:rsidP="00C31636">
            <w:pPr>
              <w:pStyle w:val="TableRowCentered"/>
              <w:ind w:left="0" w:right="0"/>
              <w:jc w:val="left"/>
              <w:rPr>
                <w:sz w:val="22"/>
                <w:szCs w:val="22"/>
              </w:rPr>
            </w:pPr>
            <w:hyperlink r:id="rId15" w:history="1">
              <w:r w:rsidR="00420487" w:rsidRPr="00420487">
                <w:rPr>
                  <w:color w:val="0000FF"/>
                  <w:sz w:val="22"/>
                  <w:szCs w:val="22"/>
                  <w:u w:val="single"/>
                </w:rPr>
                <w:t>Literacy Tree | Transform your literacy through literature.</w:t>
              </w:r>
            </w:hyperlink>
          </w:p>
          <w:p w14:paraId="193AAC94" w14:textId="77777777" w:rsidR="00420487" w:rsidRDefault="00420487" w:rsidP="00C31636">
            <w:pPr>
              <w:pStyle w:val="TableRowCentered"/>
              <w:ind w:left="0" w:right="0"/>
              <w:jc w:val="left"/>
              <w:rPr>
                <w:sz w:val="22"/>
                <w:szCs w:val="22"/>
              </w:rPr>
            </w:pPr>
          </w:p>
          <w:p w14:paraId="2DD284C1" w14:textId="601C1077" w:rsidR="00420487" w:rsidRDefault="003E6EE9" w:rsidP="00C31636">
            <w:pPr>
              <w:pStyle w:val="TableRowCentered"/>
              <w:ind w:left="0" w:right="0"/>
              <w:jc w:val="left"/>
              <w:rPr>
                <w:sz w:val="22"/>
                <w:szCs w:val="22"/>
              </w:rPr>
            </w:pPr>
            <w:hyperlink r:id="rId16" w:history="1">
              <w:r w:rsidR="00420487" w:rsidRPr="00420487">
                <w:rPr>
                  <w:rStyle w:val="Hyperlink"/>
                  <w:sz w:val="20"/>
                </w:rPr>
                <w:t>Choosing a phonics teaching programme - GOV.UK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BA414" w14:textId="49EAE9C3" w:rsidR="00CD5E2C" w:rsidRDefault="00625913" w:rsidP="00C31636">
            <w:pPr>
              <w:pStyle w:val="TableRowCentered"/>
              <w:ind w:left="0" w:right="0"/>
              <w:jc w:val="left"/>
              <w:rPr>
                <w:sz w:val="22"/>
              </w:rPr>
            </w:pPr>
            <w:r>
              <w:rPr>
                <w:sz w:val="22"/>
              </w:rPr>
              <w:t>1,2,3,5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6B23A91" w:rsidR="00E66558" w:rsidRDefault="009D71E8">
      <w:r>
        <w:t xml:space="preserve">Budgeted cost: £ </w:t>
      </w:r>
      <w:r w:rsidR="00D96FB3">
        <w:rPr>
          <w:i/>
          <w:iCs/>
        </w:rPr>
        <w:t>£41,486</w:t>
      </w:r>
    </w:p>
    <w:tbl>
      <w:tblPr>
        <w:tblW w:w="5000" w:type="pct"/>
        <w:tblCellMar>
          <w:left w:w="10" w:type="dxa"/>
          <w:right w:w="10" w:type="dxa"/>
        </w:tblCellMar>
        <w:tblLook w:val="04A0" w:firstRow="1" w:lastRow="0" w:firstColumn="1" w:lastColumn="0" w:noHBand="0" w:noVBand="1"/>
      </w:tblPr>
      <w:tblGrid>
        <w:gridCol w:w="2680"/>
        <w:gridCol w:w="4269"/>
        <w:gridCol w:w="2537"/>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22C82" w14:textId="55C31A86" w:rsidR="00D774E2" w:rsidRPr="00AB2FEA" w:rsidRDefault="00D774E2" w:rsidP="00D774E2">
            <w:pPr>
              <w:suppressAutoHyphens w:val="0"/>
              <w:autoSpaceDN/>
              <w:spacing w:after="0" w:line="240" w:lineRule="auto"/>
              <w:rPr>
                <w:rFonts w:eastAsiaTheme="minorHAnsi" w:cs="Arial"/>
                <w:color w:val="auto"/>
                <w:sz w:val="22"/>
                <w:szCs w:val="22"/>
                <w:lang w:val="en-US" w:eastAsia="en-US"/>
              </w:rPr>
            </w:pPr>
            <w:r w:rsidRPr="00AB2FEA">
              <w:rPr>
                <w:rFonts w:eastAsiaTheme="minorHAnsi" w:cs="Arial"/>
                <w:color w:val="auto"/>
                <w:sz w:val="22"/>
                <w:szCs w:val="22"/>
                <w:lang w:val="en-US" w:eastAsia="en-US"/>
              </w:rPr>
              <w:t xml:space="preserve">Part funding of the </w:t>
            </w:r>
            <w:r w:rsidR="00AB2FEA">
              <w:rPr>
                <w:rFonts w:eastAsiaTheme="minorHAnsi" w:cs="Arial"/>
                <w:color w:val="auto"/>
                <w:sz w:val="22"/>
                <w:szCs w:val="22"/>
                <w:lang w:val="en-US" w:eastAsia="en-US"/>
              </w:rPr>
              <w:t xml:space="preserve">   </w:t>
            </w:r>
            <w:r w:rsidRPr="00AB2FEA">
              <w:rPr>
                <w:rFonts w:eastAsiaTheme="minorHAnsi" w:cs="Arial"/>
                <w:color w:val="auto"/>
                <w:sz w:val="22"/>
                <w:szCs w:val="22"/>
                <w:lang w:val="en-US" w:eastAsia="en-US"/>
              </w:rPr>
              <w:t>commissioned Speech and Language Therapist</w:t>
            </w:r>
            <w:r w:rsidR="00777823">
              <w:rPr>
                <w:rFonts w:eastAsiaTheme="minorHAnsi" w:cs="Arial"/>
                <w:color w:val="auto"/>
                <w:sz w:val="22"/>
                <w:szCs w:val="22"/>
                <w:lang w:val="en-US" w:eastAsia="en-US"/>
              </w:rPr>
              <w:t xml:space="preserve"> – providing CPD for staff, working with pupils and delivering workshops for parents</w:t>
            </w:r>
          </w:p>
          <w:p w14:paraId="2A7D5529" w14:textId="3A051D3D" w:rsidR="00E66558" w:rsidRPr="00AB2FEA" w:rsidRDefault="00E66558" w:rsidP="00C31636">
            <w:pPr>
              <w:pStyle w:val="TableRow"/>
              <w:ind w:left="0" w:right="0"/>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2FF28" w14:textId="77777777" w:rsidR="00D774E2" w:rsidRPr="00AB2FEA" w:rsidRDefault="003E6EE9" w:rsidP="00D774E2">
            <w:pPr>
              <w:pStyle w:val="TableRowCentered"/>
              <w:numPr>
                <w:ilvl w:val="0"/>
                <w:numId w:val="1"/>
              </w:numPr>
              <w:rPr>
                <w:rFonts w:cs="Arial"/>
                <w:sz w:val="22"/>
                <w:szCs w:val="22"/>
              </w:rPr>
            </w:pPr>
            <w:hyperlink r:id="rId17" w:history="1">
              <w:r w:rsidR="00D774E2" w:rsidRPr="00AB2FEA">
                <w:rPr>
                  <w:rStyle w:val="Hyperlink"/>
                  <w:rFonts w:cs="Arial"/>
                  <w:sz w:val="22"/>
                  <w:szCs w:val="22"/>
                </w:rPr>
                <w:t>Communication and language approaches | EEF</w:t>
              </w:r>
            </w:hyperlink>
          </w:p>
          <w:p w14:paraId="2A7D552A" w14:textId="29837D2C" w:rsidR="00E66558" w:rsidRPr="00AB2FEA" w:rsidRDefault="00D774E2" w:rsidP="00D774E2">
            <w:pPr>
              <w:pStyle w:val="TableRowCentered"/>
              <w:ind w:left="0" w:right="0"/>
              <w:jc w:val="left"/>
              <w:rPr>
                <w:rFonts w:cs="Arial"/>
                <w:sz w:val="22"/>
                <w:szCs w:val="22"/>
              </w:rPr>
            </w:pPr>
            <w:r w:rsidRPr="00AB2FEA">
              <w:rPr>
                <w:rFonts w:cs="Arial"/>
                <w:sz w:val="22"/>
                <w:szCs w:val="22"/>
              </w:rPr>
              <w:t>Supports children in developing speaking and listening skills so that these do not become a barrier to achievement.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03D3D48" w:rsidR="00E66558" w:rsidRDefault="00625913" w:rsidP="00C31636">
            <w:pPr>
              <w:pStyle w:val="TableRowCentered"/>
              <w:ind w:left="0" w:right="0"/>
              <w:jc w:val="left"/>
              <w:rPr>
                <w:sz w:val="22"/>
              </w:rPr>
            </w:pPr>
            <w:r>
              <w:rPr>
                <w:sz w:val="22"/>
              </w:rPr>
              <w:t>2,3,5</w:t>
            </w:r>
          </w:p>
        </w:tc>
      </w:tr>
      <w:tr w:rsidR="00777823" w14:paraId="1DF9FF0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7291D" w14:textId="261D2877" w:rsidR="00777823" w:rsidRPr="00AB2FEA" w:rsidRDefault="00A042B9" w:rsidP="00D774E2">
            <w:pPr>
              <w:suppressAutoHyphens w:val="0"/>
              <w:autoSpaceDN/>
              <w:spacing w:after="0" w:line="240" w:lineRule="auto"/>
              <w:rPr>
                <w:rFonts w:eastAsiaTheme="minorHAnsi" w:cs="Arial"/>
                <w:color w:val="auto"/>
                <w:sz w:val="22"/>
                <w:szCs w:val="22"/>
                <w:lang w:val="en-US" w:eastAsia="en-US"/>
              </w:rPr>
            </w:pPr>
            <w:r>
              <w:rPr>
                <w:rFonts w:eastAsiaTheme="minorHAnsi" w:cs="Arial"/>
                <w:color w:val="auto"/>
                <w:sz w:val="22"/>
                <w:szCs w:val="22"/>
                <w:lang w:val="en-US" w:eastAsia="en-US"/>
              </w:rPr>
              <w:t>Part funding of Education Psychologist providing assessments and support for disadvantaged pupils with additional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FB8C" w14:textId="77777777" w:rsidR="00777823" w:rsidRDefault="00A042B9" w:rsidP="00A042B9">
            <w:pPr>
              <w:pStyle w:val="TableRowCentered"/>
              <w:numPr>
                <w:ilvl w:val="0"/>
                <w:numId w:val="1"/>
              </w:numPr>
              <w:jc w:val="left"/>
              <w:rPr>
                <w:rFonts w:cs="Arial"/>
                <w:sz w:val="22"/>
                <w:szCs w:val="22"/>
              </w:rPr>
            </w:pPr>
            <w:r>
              <w:rPr>
                <w:rFonts w:cs="Arial"/>
                <w:sz w:val="22"/>
                <w:szCs w:val="22"/>
              </w:rPr>
              <w:t>Strategies from the psychologist improve outcomes across:</w:t>
            </w:r>
          </w:p>
          <w:p w14:paraId="2180B682" w14:textId="77777777" w:rsidR="00A042B9" w:rsidRDefault="00A042B9" w:rsidP="00A042B9">
            <w:pPr>
              <w:pStyle w:val="TableRowCentered"/>
              <w:numPr>
                <w:ilvl w:val="0"/>
                <w:numId w:val="20"/>
              </w:numPr>
              <w:jc w:val="left"/>
              <w:rPr>
                <w:rFonts w:cs="Arial"/>
                <w:sz w:val="22"/>
                <w:szCs w:val="22"/>
              </w:rPr>
            </w:pPr>
            <w:r>
              <w:rPr>
                <w:rFonts w:cs="Arial"/>
                <w:sz w:val="22"/>
                <w:szCs w:val="22"/>
              </w:rPr>
              <w:t>Cognition and learning</w:t>
            </w:r>
          </w:p>
          <w:p w14:paraId="0449359B" w14:textId="77777777" w:rsidR="00A042B9" w:rsidRDefault="00A042B9" w:rsidP="00A042B9">
            <w:pPr>
              <w:pStyle w:val="TableRowCentered"/>
              <w:numPr>
                <w:ilvl w:val="0"/>
                <w:numId w:val="20"/>
              </w:numPr>
              <w:jc w:val="left"/>
              <w:rPr>
                <w:rFonts w:cs="Arial"/>
                <w:sz w:val="22"/>
                <w:szCs w:val="22"/>
              </w:rPr>
            </w:pPr>
            <w:r>
              <w:rPr>
                <w:rFonts w:cs="Arial"/>
                <w:sz w:val="22"/>
                <w:szCs w:val="22"/>
              </w:rPr>
              <w:t>Social, emotional, mental health</w:t>
            </w:r>
          </w:p>
          <w:p w14:paraId="05745D2F" w14:textId="77777777" w:rsidR="00A042B9" w:rsidRDefault="00A042B9" w:rsidP="00A042B9">
            <w:pPr>
              <w:pStyle w:val="TableRowCentered"/>
              <w:numPr>
                <w:ilvl w:val="0"/>
                <w:numId w:val="20"/>
              </w:numPr>
              <w:jc w:val="left"/>
              <w:rPr>
                <w:rFonts w:cs="Arial"/>
                <w:sz w:val="22"/>
                <w:szCs w:val="22"/>
              </w:rPr>
            </w:pPr>
            <w:r>
              <w:rPr>
                <w:rFonts w:cs="Arial"/>
                <w:sz w:val="22"/>
                <w:szCs w:val="22"/>
              </w:rPr>
              <w:t>Communication and interaction</w:t>
            </w:r>
          </w:p>
          <w:p w14:paraId="61B132F2" w14:textId="0E6C1996" w:rsidR="00A042B9" w:rsidRPr="00AB2FEA" w:rsidRDefault="00A042B9" w:rsidP="00A042B9">
            <w:pPr>
              <w:pStyle w:val="TableRowCentered"/>
              <w:numPr>
                <w:ilvl w:val="0"/>
                <w:numId w:val="20"/>
              </w:numPr>
              <w:jc w:val="left"/>
              <w:rPr>
                <w:rFonts w:cs="Arial"/>
                <w:sz w:val="22"/>
                <w:szCs w:val="22"/>
              </w:rPr>
            </w:pPr>
            <w:r>
              <w:rPr>
                <w:rFonts w:cs="Arial"/>
                <w:sz w:val="22"/>
                <w:szCs w:val="22"/>
              </w:rPr>
              <w:t xml:space="preserve">Physical and sensory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5FF4" w14:textId="4BB10ACD" w:rsidR="00777823" w:rsidRDefault="00625913" w:rsidP="00C31636">
            <w:pPr>
              <w:pStyle w:val="TableRowCentered"/>
              <w:ind w:left="0" w:right="0"/>
              <w:jc w:val="left"/>
              <w:rPr>
                <w:sz w:val="22"/>
              </w:rPr>
            </w:pPr>
            <w:r>
              <w:rPr>
                <w:sz w:val="22"/>
              </w:rPr>
              <w:t>2,3,5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0978758" w:rsidR="00E66558" w:rsidRPr="00AB2FEA" w:rsidRDefault="00D774E2" w:rsidP="00D774E2">
            <w:pPr>
              <w:pStyle w:val="TableRow"/>
              <w:ind w:left="0" w:right="0"/>
              <w:rPr>
                <w:rFonts w:cs="Arial"/>
                <w:iCs/>
                <w:sz w:val="22"/>
                <w:szCs w:val="22"/>
              </w:rPr>
            </w:pPr>
            <w:r w:rsidRPr="00AB2FEA">
              <w:rPr>
                <w:rFonts w:cs="Arial"/>
                <w:iCs/>
                <w:sz w:val="22"/>
                <w:szCs w:val="22"/>
              </w:rPr>
              <w:t>Phonic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12335" w14:textId="77777777" w:rsidR="00F11786" w:rsidRPr="00AB2FEA" w:rsidRDefault="00F11786" w:rsidP="00F11786">
            <w:pPr>
              <w:pStyle w:val="TableRowCentered"/>
              <w:rPr>
                <w:rFonts w:cs="Arial"/>
                <w:sz w:val="22"/>
                <w:szCs w:val="22"/>
              </w:rPr>
            </w:pPr>
            <w:r w:rsidRPr="00AB2FEA">
              <w:rPr>
                <w:rFonts w:cs="Arial"/>
                <w:sz w:val="22"/>
                <w:szCs w:val="22"/>
              </w:rPr>
              <w:t>These sessions provide an opportunity to address gaps in learning and to pre-teach strategies to children at risk of underachieving.</w:t>
            </w:r>
          </w:p>
          <w:p w14:paraId="2A7D552E" w14:textId="64708503" w:rsidR="00E66558" w:rsidRPr="00AB2FEA" w:rsidRDefault="003E6EE9" w:rsidP="00F11786">
            <w:pPr>
              <w:pStyle w:val="TableRowCentered"/>
              <w:ind w:left="0" w:right="0"/>
              <w:jc w:val="left"/>
              <w:rPr>
                <w:rFonts w:cs="Arial"/>
                <w:sz w:val="22"/>
                <w:szCs w:val="22"/>
              </w:rPr>
            </w:pPr>
            <w:hyperlink r:id="rId18" w:history="1">
              <w:r w:rsidR="00F11786" w:rsidRPr="00AB2FEA">
                <w:rPr>
                  <w:rStyle w:val="Hyperlink"/>
                  <w:rFonts w:cs="Arial"/>
                  <w:sz w:val="22"/>
                  <w:szCs w:val="22"/>
                </w:rPr>
                <w:t>2. Targeted academic support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1F832A9" w:rsidR="00E66558" w:rsidRDefault="00625913" w:rsidP="00C31636">
            <w:pPr>
              <w:pStyle w:val="TableRowCentered"/>
              <w:ind w:left="0" w:right="0"/>
              <w:jc w:val="left"/>
              <w:rPr>
                <w:sz w:val="22"/>
              </w:rPr>
            </w:pPr>
            <w:r>
              <w:rPr>
                <w:sz w:val="22"/>
              </w:rPr>
              <w:t>3</w:t>
            </w:r>
          </w:p>
        </w:tc>
      </w:tr>
      <w:tr w:rsidR="00F11786" w14:paraId="78C1F2D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A6AC" w14:textId="77777777" w:rsidR="00F11786" w:rsidRDefault="00F11786" w:rsidP="00D774E2">
            <w:pPr>
              <w:pStyle w:val="TableRow"/>
              <w:ind w:left="0" w:right="0"/>
              <w:rPr>
                <w:iCs/>
                <w:sz w:val="22"/>
              </w:rPr>
            </w:pPr>
            <w:r w:rsidRPr="00F11786">
              <w:rPr>
                <w:iCs/>
                <w:sz w:val="22"/>
              </w:rPr>
              <w:lastRenderedPageBreak/>
              <w:t>Oracy Interventions</w:t>
            </w:r>
          </w:p>
          <w:p w14:paraId="5AB667DE" w14:textId="1EB0C83A" w:rsidR="00594F7B" w:rsidRPr="00D774E2" w:rsidRDefault="00594F7B" w:rsidP="00D774E2">
            <w:pPr>
              <w:pStyle w:val="TableRow"/>
              <w:ind w:left="0" w:right="0"/>
              <w:rPr>
                <w:iCs/>
                <w:sz w:val="22"/>
              </w:rPr>
            </w:pPr>
            <w:r>
              <w:rPr>
                <w:iCs/>
                <w:sz w:val="22"/>
              </w:rPr>
              <w:t xml:space="preserve">(Speech bubbles, Little Wandle Oracy Project, Colourful </w:t>
            </w:r>
            <w:r w:rsidR="00D96FB3">
              <w:rPr>
                <w:iCs/>
                <w:sz w:val="22"/>
              </w:rPr>
              <w:t>S</w:t>
            </w:r>
            <w:r>
              <w:rPr>
                <w:iCs/>
                <w:sz w:val="22"/>
              </w:rPr>
              <w:t>emantics, Little Listeners, Talking Tables, 1:1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6E017" w14:textId="77777777" w:rsidR="00F11786" w:rsidRPr="00F11786" w:rsidRDefault="003E6EE9" w:rsidP="00F11786">
            <w:pPr>
              <w:pStyle w:val="TableRowCentered"/>
              <w:rPr>
                <w:sz w:val="22"/>
              </w:rPr>
            </w:pPr>
            <w:hyperlink r:id="rId19" w:history="1">
              <w:r w:rsidR="00F11786" w:rsidRPr="00F11786">
                <w:rPr>
                  <w:rStyle w:val="Hyperlink"/>
                  <w:sz w:val="22"/>
                </w:rPr>
                <w:t>Oral language interventions | EEF (educationendowmentfoundation.org.uk)</w:t>
              </w:r>
            </w:hyperlink>
          </w:p>
          <w:p w14:paraId="22BB9E2B" w14:textId="12AFC081" w:rsidR="00F11786" w:rsidRPr="00F11786" w:rsidRDefault="00F11786" w:rsidP="00F11786">
            <w:pPr>
              <w:pStyle w:val="TableRowCentered"/>
              <w:jc w:val="left"/>
              <w:rPr>
                <w:sz w:val="22"/>
              </w:rPr>
            </w:pPr>
            <w:r w:rsidRPr="00F11786">
              <w:rPr>
                <w:sz w:val="22"/>
              </w:rPr>
              <w:t>Speaking and listening in confidently and competently in English is essential to the success of our pupils, particularly the most disadvantaged as lifelong learners.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FAE64" w14:textId="0EAC434A" w:rsidR="00F11786" w:rsidRDefault="009A0ACF" w:rsidP="00C31636">
            <w:pPr>
              <w:pStyle w:val="TableRowCentered"/>
              <w:ind w:left="0" w:right="0"/>
              <w:jc w:val="left"/>
              <w:rPr>
                <w:sz w:val="22"/>
              </w:rPr>
            </w:pPr>
            <w:r>
              <w:rPr>
                <w:sz w:val="22"/>
              </w:rPr>
              <w:t>1,2,3,4,5</w:t>
            </w:r>
          </w:p>
        </w:tc>
      </w:tr>
      <w:tr w:rsidR="00594F7B" w14:paraId="0D4214D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C7F4" w14:textId="191D772E" w:rsidR="00594F7B" w:rsidRPr="00F11786" w:rsidRDefault="00594F7B" w:rsidP="00D774E2">
            <w:pPr>
              <w:pStyle w:val="TableRow"/>
              <w:ind w:left="0" w:right="0"/>
              <w:rPr>
                <w:iCs/>
                <w:sz w:val="22"/>
              </w:rPr>
            </w:pPr>
            <w:r>
              <w:rPr>
                <w:iCs/>
                <w:sz w:val="22"/>
              </w:rPr>
              <w:t xml:space="preserve">1:1 </w:t>
            </w:r>
            <w:proofErr w:type="gramStart"/>
            <w:r w:rsidR="00D96FB3">
              <w:rPr>
                <w:iCs/>
                <w:sz w:val="22"/>
              </w:rPr>
              <w:t>interventions</w:t>
            </w:r>
            <w:proofErr w:type="gramEnd"/>
            <w:r>
              <w:rPr>
                <w:iCs/>
                <w:sz w:val="22"/>
              </w:rPr>
              <w:t xml:space="preserve"> for children with complex needs – bucket time, intensive interactions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A991" w14:textId="78313279" w:rsidR="00594F7B" w:rsidRDefault="003E6EE9" w:rsidP="00F11786">
            <w:pPr>
              <w:pStyle w:val="TableRowCentered"/>
            </w:pPr>
            <w:hyperlink r:id="rId20" w:history="1">
              <w:r w:rsidR="009A0ACF" w:rsidRPr="009A0ACF">
                <w:rPr>
                  <w:rStyle w:val="Hyperlink"/>
                </w:rPr>
                <w:t>Teaching Assistant Interventions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F5EC" w14:textId="4A6A0979" w:rsidR="00594F7B" w:rsidRDefault="009A0ACF" w:rsidP="00C31636">
            <w:pPr>
              <w:pStyle w:val="TableRowCentered"/>
              <w:ind w:left="0" w:right="0"/>
              <w:jc w:val="left"/>
              <w:rPr>
                <w:sz w:val="22"/>
              </w:rPr>
            </w:pPr>
            <w:r>
              <w:rPr>
                <w:sz w:val="22"/>
              </w:rPr>
              <w:t>1,2,3,4,5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7EACF85" w:rsidR="00E66558" w:rsidRDefault="009D71E8">
      <w:pPr>
        <w:spacing w:before="240" w:after="120"/>
      </w:pPr>
      <w:r>
        <w:t>Budgeted cost: £</w:t>
      </w:r>
      <w:r w:rsidR="00B30A26">
        <w:t>3</w:t>
      </w:r>
      <w:r w:rsidR="00D96FB3">
        <w:t>7.578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D774E2" w14:paraId="2A7D553F"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3160EDA" w:rsidR="00D774E2" w:rsidRPr="00D774E2" w:rsidRDefault="00D774E2" w:rsidP="00D774E2">
            <w:pPr>
              <w:pStyle w:val="TableRow"/>
              <w:ind w:left="0" w:right="0"/>
              <w:rPr>
                <w:iCs/>
                <w:sz w:val="22"/>
              </w:rPr>
            </w:pPr>
            <w:r w:rsidRPr="00D774E2">
              <w:rPr>
                <w:iCs/>
                <w:sz w:val="22"/>
              </w:rPr>
              <w:t>Targeted support from Attendance and Welfare Officer to close the attendance gap between pupils in receipt of PPG and their peers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49D1E" w14:textId="77777777" w:rsidR="00D774E2" w:rsidRDefault="00D774E2" w:rsidP="00D774E2">
            <w:pPr>
              <w:pStyle w:val="TableRow"/>
              <w:spacing w:after="120"/>
              <w:ind w:left="29"/>
              <w:rPr>
                <w:iCs/>
                <w:color w:val="auto"/>
                <w:szCs w:val="28"/>
                <w:lang w:val="en-US"/>
              </w:rPr>
            </w:pPr>
            <w:r>
              <w:rPr>
                <w:iCs/>
                <w:color w:val="auto"/>
                <w:szCs w:val="28"/>
                <w:lang w:val="en-US"/>
              </w:rPr>
              <w:t xml:space="preserve">Embedding principles of good practice set out in the DfE’s </w:t>
            </w:r>
            <w:hyperlink r:id="rId21" w:history="1">
              <w:r>
                <w:rPr>
                  <w:rStyle w:val="Hyperlink"/>
                  <w:iCs/>
                  <w:color w:val="0070C0"/>
                  <w:szCs w:val="28"/>
                  <w:lang w:val="en-US"/>
                </w:rPr>
                <w:t>Improving School Attendance</w:t>
              </w:r>
            </w:hyperlink>
            <w:r>
              <w:rPr>
                <w:iCs/>
                <w:color w:val="0070C0"/>
                <w:szCs w:val="28"/>
                <w:lang w:val="en-US"/>
              </w:rPr>
              <w:t xml:space="preserve"> </w:t>
            </w:r>
            <w:r>
              <w:rPr>
                <w:iCs/>
                <w:color w:val="auto"/>
                <w:szCs w:val="28"/>
                <w:lang w:val="en-US"/>
              </w:rPr>
              <w:t>advice.</w:t>
            </w:r>
          </w:p>
          <w:p w14:paraId="2A7D553D" w14:textId="77777777" w:rsidR="00D774E2" w:rsidRDefault="00D774E2" w:rsidP="00D774E2">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DF79618" w:rsidR="00D774E2" w:rsidRDefault="00625913" w:rsidP="00D774E2">
            <w:pPr>
              <w:pStyle w:val="TableRowCentered"/>
              <w:ind w:left="0" w:right="0"/>
              <w:jc w:val="left"/>
              <w:rPr>
                <w:sz w:val="22"/>
              </w:rPr>
            </w:pPr>
            <w:r>
              <w:rPr>
                <w:sz w:val="22"/>
              </w:rPr>
              <w:t>4</w:t>
            </w:r>
          </w:p>
        </w:tc>
      </w:tr>
      <w:tr w:rsidR="00447E7B" w14:paraId="67B07377"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AFCB" w14:textId="256F62B7" w:rsidR="00447E7B" w:rsidRPr="00D774E2" w:rsidRDefault="00447E7B" w:rsidP="00D774E2">
            <w:pPr>
              <w:pStyle w:val="TableRow"/>
              <w:ind w:left="0" w:right="0"/>
              <w:rPr>
                <w:iCs/>
                <w:sz w:val="22"/>
              </w:rPr>
            </w:pPr>
            <w:r>
              <w:rPr>
                <w:iCs/>
                <w:sz w:val="22"/>
              </w:rPr>
              <w:t>All eligible children provided with a uniform starter pack</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9C794" w14:textId="5CE6BCB4" w:rsidR="00447E7B" w:rsidRDefault="00447E7B" w:rsidP="00D774E2">
            <w:pPr>
              <w:pStyle w:val="TableRow"/>
              <w:spacing w:after="120"/>
              <w:ind w:left="29"/>
              <w:rPr>
                <w:iCs/>
                <w:color w:val="auto"/>
                <w:szCs w:val="28"/>
                <w:lang w:val="en-US"/>
              </w:rPr>
            </w:pPr>
            <w:r w:rsidRPr="00447E7B">
              <w:rPr>
                <w:iCs/>
                <w:color w:val="auto"/>
                <w:sz w:val="22"/>
              </w:rPr>
              <w:t>Ensures that uniform is not a barrier to accessing school. Supports families financially. Children often feel self-conscious if they are not in the correct uniform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4186" w14:textId="3E45DCB4" w:rsidR="00447E7B" w:rsidRDefault="00625913" w:rsidP="00D774E2">
            <w:pPr>
              <w:pStyle w:val="TableRowCentered"/>
              <w:ind w:left="0" w:right="0"/>
              <w:jc w:val="left"/>
              <w:rPr>
                <w:sz w:val="22"/>
              </w:rPr>
            </w:pPr>
            <w:r>
              <w:rPr>
                <w:sz w:val="22"/>
              </w:rPr>
              <w:t>1</w:t>
            </w:r>
          </w:p>
        </w:tc>
      </w:tr>
      <w:tr w:rsidR="00D774E2" w14:paraId="2D6293BC"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B56E" w14:textId="032AC165" w:rsidR="00D774E2" w:rsidRPr="00D774E2" w:rsidRDefault="00D774E2" w:rsidP="00D774E2">
            <w:pPr>
              <w:pStyle w:val="TableRow"/>
              <w:ind w:left="0" w:right="0"/>
              <w:rPr>
                <w:iCs/>
                <w:sz w:val="22"/>
              </w:rPr>
            </w:pPr>
            <w:r w:rsidRPr="00D774E2">
              <w:rPr>
                <w:iCs/>
                <w:sz w:val="22"/>
              </w:rPr>
              <w:t>Nurture Group is available two afternoons a week to support the social and emotional needs of our pupils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2EDB" w14:textId="734403F0" w:rsidR="00D774E2" w:rsidRDefault="003E6EE9" w:rsidP="00D774E2">
            <w:pPr>
              <w:pStyle w:val="TableRow"/>
              <w:spacing w:after="120"/>
              <w:ind w:left="29"/>
              <w:rPr>
                <w:iCs/>
                <w:color w:val="auto"/>
                <w:szCs w:val="28"/>
                <w:lang w:val="en-US"/>
              </w:rPr>
            </w:pPr>
            <w:hyperlink r:id="rId22" w:history="1">
              <w:r w:rsidR="00D774E2" w:rsidRPr="00D774E2">
                <w:rPr>
                  <w:rStyle w:val="Hyperlink"/>
                  <w:iCs/>
                  <w:szCs w:val="28"/>
                </w:rPr>
                <w:t>Nurture Provision in Primary Schools | Department of Education (education-ni.gov.uk)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3EA1" w14:textId="1930B1E5" w:rsidR="00D774E2" w:rsidRDefault="00625913" w:rsidP="00D774E2">
            <w:pPr>
              <w:pStyle w:val="TableRowCentered"/>
              <w:ind w:left="0" w:right="0"/>
              <w:jc w:val="left"/>
              <w:rPr>
                <w:sz w:val="22"/>
              </w:rPr>
            </w:pPr>
            <w:r>
              <w:rPr>
                <w:sz w:val="22"/>
              </w:rPr>
              <w:t>1</w:t>
            </w:r>
          </w:p>
        </w:tc>
      </w:tr>
      <w:tr w:rsidR="00D774E2" w14:paraId="077A9362"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AC3D9" w14:textId="63D34BC7" w:rsidR="00D774E2" w:rsidRPr="00D774E2" w:rsidRDefault="00D774E2" w:rsidP="00D774E2">
            <w:pPr>
              <w:pStyle w:val="TableRow"/>
              <w:ind w:left="0" w:right="0"/>
              <w:rPr>
                <w:iCs/>
                <w:sz w:val="22"/>
              </w:rPr>
            </w:pPr>
            <w:r w:rsidRPr="00D774E2">
              <w:rPr>
                <w:iCs/>
                <w:sz w:val="22"/>
              </w:rPr>
              <w:t xml:space="preserve">ELSA- Emotional Literacy – This provision takes place once a week. It provides our children with the tools and safe space to express their feelings and wishes with the </w:t>
            </w:r>
            <w:r w:rsidR="00B30A26" w:rsidRPr="00D774E2">
              <w:rPr>
                <w:iCs/>
                <w:sz w:val="22"/>
              </w:rPr>
              <w:t>support,</w:t>
            </w:r>
            <w:r w:rsidRPr="00D774E2">
              <w:rPr>
                <w:iCs/>
                <w:sz w:val="22"/>
              </w:rPr>
              <w:t xml:space="preserve"> care and guidance of our qualified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EB60E" w14:textId="77777777" w:rsidR="00D774E2" w:rsidRPr="00D774E2" w:rsidRDefault="003E6EE9" w:rsidP="00D774E2">
            <w:pPr>
              <w:pStyle w:val="TableRow"/>
              <w:spacing w:after="120"/>
              <w:ind w:left="29"/>
              <w:rPr>
                <w:iCs/>
                <w:color w:val="auto"/>
                <w:szCs w:val="28"/>
              </w:rPr>
            </w:pPr>
            <w:hyperlink r:id="rId23" w:history="1">
              <w:r w:rsidR="00D774E2" w:rsidRPr="00D774E2">
                <w:rPr>
                  <w:rStyle w:val="Hyperlink"/>
                  <w:iCs/>
                  <w:szCs w:val="28"/>
                </w:rPr>
                <w:t>About ELSA – ELSA Network</w:t>
              </w:r>
            </w:hyperlink>
          </w:p>
          <w:p w14:paraId="0458238B" w14:textId="6A7B07C8" w:rsidR="00D774E2" w:rsidRDefault="00D774E2" w:rsidP="00D774E2">
            <w:pPr>
              <w:pStyle w:val="TableRow"/>
              <w:spacing w:after="120"/>
              <w:ind w:left="29"/>
              <w:rPr>
                <w:iCs/>
                <w:color w:val="auto"/>
                <w:szCs w:val="28"/>
                <w:lang w:val="en-US"/>
              </w:rPr>
            </w:pPr>
            <w:r w:rsidRPr="00D774E2">
              <w:rPr>
                <w:iCs/>
                <w:color w:val="auto"/>
                <w:szCs w:val="28"/>
              </w:rPr>
              <w:t>Our Learning Mentors are members of the ELSA network.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83874" w14:textId="7C25631F" w:rsidR="00D774E2" w:rsidRDefault="00625913" w:rsidP="00D774E2">
            <w:pPr>
              <w:pStyle w:val="TableRowCentered"/>
              <w:ind w:left="0" w:right="0"/>
              <w:jc w:val="left"/>
              <w:rPr>
                <w:sz w:val="22"/>
              </w:rPr>
            </w:pPr>
            <w:r>
              <w:rPr>
                <w:sz w:val="22"/>
              </w:rPr>
              <w:t>1</w:t>
            </w:r>
          </w:p>
        </w:tc>
      </w:tr>
      <w:tr w:rsidR="00A84E0F" w14:paraId="61433ACB"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CD78" w14:textId="5BE3F326" w:rsidR="00A84E0F" w:rsidRPr="00D774E2" w:rsidRDefault="00A84E0F" w:rsidP="00D774E2">
            <w:pPr>
              <w:pStyle w:val="TableRow"/>
              <w:ind w:left="0" w:right="0"/>
              <w:rPr>
                <w:iCs/>
                <w:sz w:val="22"/>
              </w:rPr>
            </w:pPr>
            <w:r>
              <w:rPr>
                <w:iCs/>
                <w:sz w:val="22"/>
              </w:rPr>
              <w:t>Play therapy – opportunities for children who have experienced trauma to exp</w:t>
            </w:r>
            <w:r w:rsidR="00E321FA">
              <w:rPr>
                <w:iCs/>
                <w:sz w:val="22"/>
              </w:rPr>
              <w:t xml:space="preserve">ress </w:t>
            </w:r>
            <w:r w:rsidR="00E321FA">
              <w:rPr>
                <w:iCs/>
                <w:sz w:val="22"/>
              </w:rPr>
              <w:lastRenderedPageBreak/>
              <w:t>themselves in their own way and explore their thought and feelings in a creative and dynamic way.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3362" w14:textId="30473E51" w:rsidR="00A84E0F" w:rsidRDefault="003E6EE9" w:rsidP="00A84E0F">
            <w:pPr>
              <w:pStyle w:val="TableRow"/>
              <w:spacing w:after="120"/>
              <w:ind w:left="0"/>
            </w:pPr>
            <w:hyperlink r:id="rId24" w:history="1">
              <w:r w:rsidR="00A84E0F" w:rsidRPr="00A84E0F">
                <w:rPr>
                  <w:rStyle w:val="Hyperlink"/>
                </w:rPr>
                <w:t>Homepage - Play Therapy 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2FB0" w14:textId="3F1E4B0E" w:rsidR="00E321FA" w:rsidRDefault="00625913" w:rsidP="00D774E2">
            <w:pPr>
              <w:pStyle w:val="TableRowCentered"/>
              <w:ind w:left="0" w:right="0"/>
              <w:jc w:val="left"/>
              <w:rPr>
                <w:sz w:val="22"/>
              </w:rPr>
            </w:pPr>
            <w:r>
              <w:rPr>
                <w:sz w:val="22"/>
              </w:rPr>
              <w:t>1</w:t>
            </w:r>
          </w:p>
        </w:tc>
      </w:tr>
      <w:tr w:rsidR="005A4BAE" w14:paraId="2C51F7F7"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EBB9" w14:textId="674B07D1" w:rsidR="005A4BAE" w:rsidRDefault="005A4BAE" w:rsidP="00D774E2">
            <w:pPr>
              <w:pStyle w:val="TableRow"/>
              <w:ind w:left="0" w:right="0"/>
              <w:rPr>
                <w:iCs/>
                <w:sz w:val="22"/>
              </w:rPr>
            </w:pPr>
            <w:r>
              <w:rPr>
                <w:iCs/>
                <w:sz w:val="22"/>
              </w:rPr>
              <w:t>Parent workshops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3D2CC" w14:textId="39E0F194" w:rsidR="005A4BAE" w:rsidRPr="00A84E0F" w:rsidRDefault="003E6EE9" w:rsidP="00A84E0F">
            <w:pPr>
              <w:pStyle w:val="TableRow"/>
              <w:spacing w:after="120"/>
              <w:ind w:left="0"/>
            </w:pPr>
            <w:hyperlink r:id="rId25" w:history="1">
              <w:r w:rsidR="005A4BAE" w:rsidRPr="005A4BAE">
                <w:rPr>
                  <w:rStyle w:val="Hyperlink"/>
                </w:rPr>
                <w:t>Parental engagement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ADDF5" w14:textId="7DA5D707" w:rsidR="005A4BAE" w:rsidRDefault="005A4BAE" w:rsidP="00D774E2">
            <w:pPr>
              <w:pStyle w:val="TableRowCentered"/>
              <w:ind w:left="0" w:right="0"/>
              <w:jc w:val="left"/>
              <w:rPr>
                <w:sz w:val="22"/>
              </w:rPr>
            </w:pPr>
            <w:r>
              <w:rPr>
                <w:sz w:val="22"/>
              </w:rPr>
              <w:t>1,2,3,4,5</w:t>
            </w:r>
          </w:p>
        </w:tc>
      </w:tr>
      <w:tr w:rsidR="00D774E2" w14:paraId="4A9E4105"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1623" w14:textId="511D9115" w:rsidR="00D774E2" w:rsidRPr="00D774E2" w:rsidRDefault="00D774E2" w:rsidP="00D774E2">
            <w:pPr>
              <w:pStyle w:val="TableRow"/>
              <w:ind w:left="0" w:right="0"/>
              <w:rPr>
                <w:iCs/>
                <w:sz w:val="22"/>
              </w:rPr>
            </w:pPr>
            <w:r>
              <w:rPr>
                <w:iCs/>
                <w:sz w:val="22"/>
              </w:rPr>
              <w:t xml:space="preserve">Access to </w:t>
            </w:r>
            <w:r w:rsidR="00447E7B">
              <w:rPr>
                <w:iCs/>
                <w:sz w:val="22"/>
              </w:rPr>
              <w:t xml:space="preserve">enrichment </w:t>
            </w:r>
            <w:r>
              <w:rPr>
                <w:iCs/>
                <w:sz w:val="22"/>
              </w:rPr>
              <w:t xml:space="preserve">clubs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6801A" w14:textId="77777777" w:rsidR="00D774E2" w:rsidRPr="00FF04AF" w:rsidRDefault="00447E7B" w:rsidP="00D774E2">
            <w:pPr>
              <w:pStyle w:val="TableRow"/>
              <w:spacing w:after="120"/>
              <w:ind w:left="29"/>
              <w:rPr>
                <w:iCs/>
                <w:color w:val="auto"/>
                <w:sz w:val="22"/>
              </w:rPr>
            </w:pPr>
            <w:r w:rsidRPr="00FF04AF">
              <w:rPr>
                <w:iCs/>
                <w:color w:val="auto"/>
                <w:sz w:val="22"/>
              </w:rPr>
              <w:t>Extracurricular activities promote social skills and promote a healthy lifestyle.</w:t>
            </w:r>
          </w:p>
          <w:p w14:paraId="19FD9A42" w14:textId="77777777" w:rsidR="00447E7B" w:rsidRPr="00FF04AF" w:rsidRDefault="003E6EE9" w:rsidP="00D774E2">
            <w:pPr>
              <w:pStyle w:val="TableRow"/>
              <w:spacing w:after="120"/>
              <w:ind w:left="29"/>
              <w:rPr>
                <w:iCs/>
                <w:color w:val="auto"/>
                <w:sz w:val="22"/>
              </w:rPr>
            </w:pPr>
            <w:hyperlink r:id="rId26" w:history="1">
              <w:r w:rsidR="00447E7B" w:rsidRPr="00FF04AF">
                <w:rPr>
                  <w:rStyle w:val="Hyperlink"/>
                  <w:iCs/>
                  <w:sz w:val="22"/>
                </w:rPr>
                <w:t>An unequal playing field: extra-curricular activities, soft skills and social mobility - GOV.UK</w:t>
              </w:r>
            </w:hyperlink>
          </w:p>
          <w:p w14:paraId="27E32D69" w14:textId="27904674" w:rsidR="00AB2FEA" w:rsidRPr="00D774E2" w:rsidRDefault="003E6EE9" w:rsidP="00D774E2">
            <w:pPr>
              <w:pStyle w:val="TableRow"/>
              <w:spacing w:after="120"/>
              <w:ind w:left="29"/>
              <w:rPr>
                <w:iCs/>
                <w:color w:val="auto"/>
                <w:szCs w:val="28"/>
              </w:rPr>
            </w:pPr>
            <w:hyperlink r:id="rId27" w:history="1">
              <w:r w:rsidR="00AB2FEA" w:rsidRPr="00FF04AF">
                <w:rPr>
                  <w:color w:val="0000FF"/>
                  <w:sz w:val="22"/>
                  <w:szCs w:val="22"/>
                  <w:u w:val="single"/>
                </w:rPr>
                <w:t>Physical activity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1CFD0" w14:textId="0832372D" w:rsidR="00D774E2" w:rsidRDefault="00625913" w:rsidP="00D774E2">
            <w:pPr>
              <w:pStyle w:val="TableRowCentered"/>
              <w:ind w:left="0" w:right="0"/>
              <w:jc w:val="left"/>
              <w:rPr>
                <w:sz w:val="22"/>
              </w:rPr>
            </w:pPr>
            <w:r>
              <w:rPr>
                <w:sz w:val="22"/>
              </w:rPr>
              <w:t>1</w:t>
            </w:r>
          </w:p>
        </w:tc>
      </w:tr>
      <w:tr w:rsidR="00B30A26" w14:paraId="5F0A8C2F"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68531" w14:textId="0D4874E6" w:rsidR="00B30A26" w:rsidRDefault="00B30A26" w:rsidP="00D774E2">
            <w:pPr>
              <w:pStyle w:val="TableRow"/>
              <w:ind w:left="0" w:right="0"/>
              <w:rPr>
                <w:iCs/>
                <w:sz w:val="22"/>
              </w:rPr>
            </w:pPr>
            <w:r>
              <w:rPr>
                <w:iCs/>
                <w:sz w:val="22"/>
              </w:rPr>
              <w:t>Educational trips and visits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615F" w14:textId="402D91A6" w:rsidR="00B30A26" w:rsidRPr="00FF04AF" w:rsidRDefault="009A0ACF" w:rsidP="00D774E2">
            <w:pPr>
              <w:pStyle w:val="TableRow"/>
              <w:spacing w:after="120"/>
              <w:ind w:left="29"/>
              <w:rPr>
                <w:iCs/>
                <w:color w:val="auto"/>
                <w:sz w:val="22"/>
              </w:rPr>
            </w:pPr>
            <w:r w:rsidRPr="009A0ACF">
              <w:rPr>
                <w:iCs/>
                <w:color w:val="auto"/>
                <w:sz w:val="22"/>
              </w:rPr>
              <w:t>Educational visits are crucial for young children as they provide a bridge between classroom learning and real-world experiences.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458AC" w14:textId="2581BB99" w:rsidR="00B30A26" w:rsidRDefault="009A0ACF" w:rsidP="00D774E2">
            <w:pPr>
              <w:pStyle w:val="TableRowCentered"/>
              <w:ind w:left="0" w:right="0"/>
              <w:jc w:val="left"/>
              <w:rPr>
                <w:sz w:val="22"/>
              </w:rPr>
            </w:pPr>
            <w:r>
              <w:rPr>
                <w:sz w:val="22"/>
              </w:rPr>
              <w:t>1</w:t>
            </w:r>
          </w:p>
        </w:tc>
      </w:tr>
      <w:tr w:rsidR="00FF04AF" w14:paraId="3EE1A0AD"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79B9" w14:textId="0AC866BF" w:rsidR="00FF04AF" w:rsidRDefault="00FF04AF" w:rsidP="00D774E2">
            <w:pPr>
              <w:pStyle w:val="TableRow"/>
              <w:ind w:left="0" w:right="0"/>
              <w:rPr>
                <w:iCs/>
                <w:sz w:val="22"/>
              </w:rPr>
            </w:pPr>
            <w:r>
              <w:rPr>
                <w:iCs/>
                <w:sz w:val="22"/>
              </w:rPr>
              <w:t>Access to breakfast club</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18EA4" w14:textId="1685BB1A" w:rsidR="00FF04AF" w:rsidRPr="00FF04AF" w:rsidRDefault="00FF04AF" w:rsidP="00D774E2">
            <w:pPr>
              <w:pStyle w:val="TableRow"/>
              <w:spacing w:after="120"/>
              <w:ind w:left="29"/>
              <w:rPr>
                <w:iCs/>
                <w:color w:val="auto"/>
                <w:sz w:val="22"/>
              </w:rPr>
            </w:pPr>
            <w:r>
              <w:rPr>
                <w:iCs/>
                <w:color w:val="auto"/>
                <w:sz w:val="22"/>
              </w:rPr>
              <w:t>This ensures that all vulnerable children</w:t>
            </w:r>
            <w:r w:rsidR="00DD15B2">
              <w:rPr>
                <w:iCs/>
                <w:color w:val="auto"/>
                <w:sz w:val="22"/>
              </w:rPr>
              <w:t xml:space="preserve"> have a good start to the day. This is particularly important for children in temporary/shared accommodation and/or no recourse to public funds.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9FAA6" w14:textId="2B137BD1" w:rsidR="00FF04AF" w:rsidRDefault="009A0ACF" w:rsidP="00D774E2">
            <w:pPr>
              <w:pStyle w:val="TableRowCentered"/>
              <w:ind w:left="0" w:right="0"/>
              <w:jc w:val="left"/>
              <w:rPr>
                <w:sz w:val="22"/>
              </w:rPr>
            </w:pPr>
            <w:r>
              <w:rPr>
                <w:sz w:val="22"/>
              </w:rPr>
              <w:t>1,2,3,4,5</w:t>
            </w:r>
          </w:p>
        </w:tc>
      </w:tr>
      <w:tr w:rsidR="00EE6C7E" w14:paraId="26304FB8" w14:textId="77777777" w:rsidTr="006D60E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E5973" w14:textId="5CFB2DC9" w:rsidR="00EE6C7E" w:rsidRDefault="00EE6C7E" w:rsidP="00D774E2">
            <w:pPr>
              <w:pStyle w:val="TableRow"/>
              <w:ind w:left="0" w:right="0"/>
              <w:rPr>
                <w:iCs/>
                <w:sz w:val="22"/>
              </w:rPr>
            </w:pPr>
            <w:r>
              <w:rPr>
                <w:iCs/>
                <w:sz w:val="22"/>
              </w:rPr>
              <w:t>Weekly food market and food bags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A7ABB" w14:textId="36CE9132" w:rsidR="00EE6C7E" w:rsidRDefault="003E6EE9" w:rsidP="00D774E2">
            <w:pPr>
              <w:pStyle w:val="TableRow"/>
              <w:spacing w:after="120"/>
              <w:ind w:left="29"/>
              <w:rPr>
                <w:iCs/>
                <w:color w:val="auto"/>
                <w:sz w:val="22"/>
              </w:rPr>
            </w:pPr>
            <w:hyperlink r:id="rId28" w:history="1">
              <w:r w:rsidR="00EE6C7E" w:rsidRPr="00EE6C7E">
                <w:rPr>
                  <w:color w:val="0000FF"/>
                  <w:sz w:val="22"/>
                  <w:szCs w:val="22"/>
                  <w:u w:val="single"/>
                </w:rPr>
                <w:t>Ending hunger together | Trussell</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1C46" w14:textId="2C6958C2" w:rsidR="00EE6C7E" w:rsidRDefault="00EE6C7E" w:rsidP="00D774E2">
            <w:pPr>
              <w:pStyle w:val="TableRowCentered"/>
              <w:ind w:left="0" w:right="0"/>
              <w:jc w:val="left"/>
              <w:rPr>
                <w:sz w:val="22"/>
              </w:rPr>
            </w:pPr>
            <w:r>
              <w:rPr>
                <w:sz w:val="22"/>
              </w:rPr>
              <w:t>1,2,3,4</w:t>
            </w:r>
          </w:p>
        </w:tc>
      </w:tr>
    </w:tbl>
    <w:p w14:paraId="2A7D5540" w14:textId="77777777" w:rsidR="00E66558" w:rsidRDefault="00E66558">
      <w:pPr>
        <w:spacing w:before="240" w:after="0"/>
        <w:rPr>
          <w:b/>
          <w:bCs/>
          <w:color w:val="104F75"/>
          <w:sz w:val="28"/>
          <w:szCs w:val="28"/>
        </w:rPr>
      </w:pPr>
    </w:p>
    <w:p w14:paraId="2A7D5541" w14:textId="77AC8985" w:rsidR="00E66558" w:rsidRDefault="009D71E8" w:rsidP="00120AB1">
      <w:r>
        <w:rPr>
          <w:b/>
          <w:bCs/>
          <w:color w:val="104F75"/>
          <w:sz w:val="28"/>
          <w:szCs w:val="28"/>
        </w:rPr>
        <w:t xml:space="preserve">Total budgeted cost: £ </w:t>
      </w:r>
      <w:r w:rsidR="004426D5">
        <w:rPr>
          <w:i/>
          <w:iCs/>
          <w:color w:val="104F75"/>
          <w:sz w:val="28"/>
          <w:szCs w:val="28"/>
        </w:rPr>
        <w:t>174,619</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0A1565" w14:textId="3B60870C" w:rsidR="001C28A8" w:rsidRDefault="001C28A8" w:rsidP="009B7433">
            <w:pPr>
              <w:rPr>
                <w:b/>
                <w:bCs/>
                <w:color w:val="000000"/>
                <w:u w:val="single"/>
              </w:rPr>
            </w:pPr>
            <w:r>
              <w:rPr>
                <w:b/>
                <w:bCs/>
                <w:color w:val="000000"/>
                <w:u w:val="single"/>
              </w:rPr>
              <w:t>Teaching and learning</w:t>
            </w:r>
          </w:p>
          <w:p w14:paraId="01299B2C" w14:textId="33525651" w:rsidR="001C28A8" w:rsidRDefault="001C28A8" w:rsidP="009B7433">
            <w:pPr>
              <w:rPr>
                <w:color w:val="000000"/>
              </w:rPr>
            </w:pPr>
            <w:r>
              <w:rPr>
                <w:color w:val="000000"/>
              </w:rPr>
              <w:t xml:space="preserve">The English Hub has continued to support the school in the teaching of phonics and two teachers have attended </w:t>
            </w:r>
            <w:r w:rsidR="00FB045D">
              <w:rPr>
                <w:color w:val="000000"/>
              </w:rPr>
              <w:t xml:space="preserve">a </w:t>
            </w:r>
            <w:r>
              <w:rPr>
                <w:color w:val="000000"/>
              </w:rPr>
              <w:t xml:space="preserve">course, ‘Reading Ambition </w:t>
            </w:r>
            <w:proofErr w:type="gramStart"/>
            <w:r>
              <w:rPr>
                <w:color w:val="000000"/>
              </w:rPr>
              <w:t>For</w:t>
            </w:r>
            <w:proofErr w:type="gramEnd"/>
            <w:r>
              <w:rPr>
                <w:color w:val="000000"/>
              </w:rPr>
              <w:t xml:space="preserve"> All.’ The teaching of both phonics and reading has been</w:t>
            </w:r>
            <w:r w:rsidR="00FB045D">
              <w:rPr>
                <w:color w:val="000000"/>
              </w:rPr>
              <w:t xml:space="preserve"> closely monitored and</w:t>
            </w:r>
            <w:r>
              <w:rPr>
                <w:color w:val="000000"/>
              </w:rPr>
              <w:t xml:space="preserve"> </w:t>
            </w:r>
            <w:r w:rsidR="00FB045D">
              <w:rPr>
                <w:color w:val="000000"/>
              </w:rPr>
              <w:t xml:space="preserve">found </w:t>
            </w:r>
            <w:r>
              <w:rPr>
                <w:color w:val="000000"/>
              </w:rPr>
              <w:t>to be of a consistently high standard</w:t>
            </w:r>
            <w:r w:rsidR="00FB045D">
              <w:rPr>
                <w:color w:val="000000"/>
              </w:rPr>
              <w:t>.</w:t>
            </w:r>
            <w:r>
              <w:rPr>
                <w:color w:val="000000"/>
              </w:rPr>
              <w:t xml:space="preserve"> </w:t>
            </w:r>
            <w:r w:rsidR="00FB045D">
              <w:rPr>
                <w:color w:val="000000"/>
              </w:rPr>
              <w:t>O</w:t>
            </w:r>
            <w:r>
              <w:rPr>
                <w:color w:val="000000"/>
              </w:rPr>
              <w:t xml:space="preserve">utcomes for </w:t>
            </w:r>
            <w:r w:rsidR="00B82F84">
              <w:rPr>
                <w:color w:val="000000"/>
              </w:rPr>
              <w:t xml:space="preserve">reception </w:t>
            </w:r>
            <w:r>
              <w:rPr>
                <w:color w:val="000000"/>
              </w:rPr>
              <w:t>children have improved from the previous year. The phonics leader and year group leaders have identified children in need of interventions</w:t>
            </w:r>
            <w:r w:rsidR="00FB045D">
              <w:rPr>
                <w:color w:val="000000"/>
              </w:rPr>
              <w:t>,</w:t>
            </w:r>
            <w:r>
              <w:rPr>
                <w:color w:val="000000"/>
              </w:rPr>
              <w:t xml:space="preserve"> </w:t>
            </w:r>
            <w:r w:rsidR="00FB045D">
              <w:rPr>
                <w:color w:val="000000"/>
              </w:rPr>
              <w:t>ensured that interventions have taken place and analysed the data of reassessments to ensure that children are making progress. Adaptions have been made to interventions in light of the changing data. The reading leader and phonics leader have provided additional training for new members of staff or for those that had moved year group to ensure that every child is supported by a fully trained adult.</w:t>
            </w:r>
          </w:p>
          <w:tbl>
            <w:tblPr>
              <w:tblStyle w:val="TableGrid"/>
              <w:tblW w:w="0" w:type="auto"/>
              <w:tblLook w:val="04A0" w:firstRow="1" w:lastRow="0" w:firstColumn="1" w:lastColumn="0" w:noHBand="0" w:noVBand="1"/>
            </w:tblPr>
            <w:tblGrid>
              <w:gridCol w:w="1281"/>
              <w:gridCol w:w="1294"/>
              <w:gridCol w:w="1266"/>
              <w:gridCol w:w="298"/>
              <w:gridCol w:w="1334"/>
              <w:gridCol w:w="1388"/>
              <w:gridCol w:w="1203"/>
            </w:tblGrid>
            <w:tr w:rsidR="00F81347" w14:paraId="2A8965F8" w14:textId="77777777" w:rsidTr="00F81347">
              <w:tc>
                <w:tcPr>
                  <w:tcW w:w="1281" w:type="dxa"/>
                </w:tcPr>
                <w:p w14:paraId="63F2D98B" w14:textId="1097A9F0" w:rsidR="00F81347" w:rsidRPr="00F81347" w:rsidRDefault="00F81347" w:rsidP="009B7433">
                  <w:pPr>
                    <w:rPr>
                      <w:color w:val="000000"/>
                      <w:sz w:val="22"/>
                      <w:szCs w:val="22"/>
                    </w:rPr>
                  </w:pPr>
                  <w:r w:rsidRPr="00F81347">
                    <w:rPr>
                      <w:color w:val="000000"/>
                      <w:sz w:val="22"/>
                      <w:szCs w:val="22"/>
                    </w:rPr>
                    <w:t>Year 1</w:t>
                  </w:r>
                </w:p>
              </w:tc>
              <w:tc>
                <w:tcPr>
                  <w:tcW w:w="1294" w:type="dxa"/>
                </w:tcPr>
                <w:p w14:paraId="769097DD" w14:textId="7956B632" w:rsidR="00F81347" w:rsidRPr="00F81347" w:rsidRDefault="00F81347" w:rsidP="009B7433">
                  <w:pPr>
                    <w:rPr>
                      <w:color w:val="000000"/>
                      <w:sz w:val="22"/>
                      <w:szCs w:val="22"/>
                    </w:rPr>
                  </w:pPr>
                  <w:r>
                    <w:rPr>
                      <w:color w:val="000000"/>
                      <w:sz w:val="22"/>
                      <w:szCs w:val="22"/>
                    </w:rPr>
                    <w:t>School</w:t>
                  </w:r>
                </w:p>
              </w:tc>
              <w:tc>
                <w:tcPr>
                  <w:tcW w:w="1266" w:type="dxa"/>
                </w:tcPr>
                <w:p w14:paraId="241EE87B" w14:textId="116E3FFB" w:rsidR="00F81347" w:rsidRPr="00F81347" w:rsidRDefault="00F81347" w:rsidP="009B7433">
                  <w:pPr>
                    <w:rPr>
                      <w:color w:val="000000"/>
                      <w:sz w:val="22"/>
                      <w:szCs w:val="22"/>
                    </w:rPr>
                  </w:pPr>
                  <w:r>
                    <w:rPr>
                      <w:color w:val="000000"/>
                      <w:sz w:val="22"/>
                      <w:szCs w:val="22"/>
                    </w:rPr>
                    <w:t>LA</w:t>
                  </w:r>
                </w:p>
              </w:tc>
              <w:tc>
                <w:tcPr>
                  <w:tcW w:w="298" w:type="dxa"/>
                  <w:tcBorders>
                    <w:bottom w:val="nil"/>
                  </w:tcBorders>
                </w:tcPr>
                <w:p w14:paraId="50C97F70" w14:textId="77777777" w:rsidR="00F81347" w:rsidRPr="00F81347" w:rsidRDefault="00F81347" w:rsidP="009B7433">
                  <w:pPr>
                    <w:rPr>
                      <w:color w:val="000000"/>
                      <w:sz w:val="22"/>
                      <w:szCs w:val="22"/>
                    </w:rPr>
                  </w:pPr>
                </w:p>
              </w:tc>
              <w:tc>
                <w:tcPr>
                  <w:tcW w:w="1334" w:type="dxa"/>
                </w:tcPr>
                <w:p w14:paraId="78F080E8" w14:textId="12413DB0" w:rsidR="00F81347" w:rsidRPr="00F81347" w:rsidRDefault="00F81347" w:rsidP="009B7433">
                  <w:pPr>
                    <w:rPr>
                      <w:color w:val="000000"/>
                      <w:sz w:val="18"/>
                      <w:szCs w:val="18"/>
                    </w:rPr>
                  </w:pPr>
                  <w:r w:rsidRPr="00F81347">
                    <w:rPr>
                      <w:color w:val="000000"/>
                      <w:sz w:val="18"/>
                      <w:szCs w:val="18"/>
                    </w:rPr>
                    <w:t>Year 1 and 2 combined</w:t>
                  </w:r>
                </w:p>
              </w:tc>
              <w:tc>
                <w:tcPr>
                  <w:tcW w:w="1388" w:type="dxa"/>
                </w:tcPr>
                <w:p w14:paraId="5D2AD3D6" w14:textId="50381317" w:rsidR="00F81347" w:rsidRPr="00F81347" w:rsidRDefault="00F81347" w:rsidP="009B7433">
                  <w:pPr>
                    <w:rPr>
                      <w:color w:val="000000"/>
                      <w:sz w:val="18"/>
                      <w:szCs w:val="18"/>
                    </w:rPr>
                  </w:pPr>
                  <w:r>
                    <w:rPr>
                      <w:color w:val="000000"/>
                      <w:sz w:val="18"/>
                      <w:szCs w:val="18"/>
                    </w:rPr>
                    <w:t>School</w:t>
                  </w:r>
                </w:p>
              </w:tc>
              <w:tc>
                <w:tcPr>
                  <w:tcW w:w="1203" w:type="dxa"/>
                </w:tcPr>
                <w:p w14:paraId="4F0DA503" w14:textId="6BE844BA" w:rsidR="00F81347" w:rsidRPr="00F81347" w:rsidRDefault="00F81347" w:rsidP="009B7433">
                  <w:pPr>
                    <w:rPr>
                      <w:color w:val="000000"/>
                      <w:sz w:val="22"/>
                      <w:szCs w:val="22"/>
                    </w:rPr>
                  </w:pPr>
                  <w:r>
                    <w:rPr>
                      <w:color w:val="000000"/>
                      <w:sz w:val="18"/>
                      <w:szCs w:val="18"/>
                    </w:rPr>
                    <w:t>LA</w:t>
                  </w:r>
                </w:p>
              </w:tc>
            </w:tr>
            <w:tr w:rsidR="00F81347" w14:paraId="2A8DA35E" w14:textId="77777777" w:rsidTr="00F81347">
              <w:tc>
                <w:tcPr>
                  <w:tcW w:w="1281" w:type="dxa"/>
                </w:tcPr>
                <w:p w14:paraId="74199263" w14:textId="5F378C2B" w:rsidR="00F81347" w:rsidRPr="00F81347" w:rsidRDefault="00F81347" w:rsidP="009B7433">
                  <w:pPr>
                    <w:rPr>
                      <w:color w:val="000000"/>
                      <w:sz w:val="22"/>
                      <w:szCs w:val="22"/>
                    </w:rPr>
                  </w:pPr>
                  <w:r w:rsidRPr="00F81347">
                    <w:rPr>
                      <w:color w:val="000000"/>
                      <w:sz w:val="22"/>
                      <w:szCs w:val="22"/>
                    </w:rPr>
                    <w:t>2025</w:t>
                  </w:r>
                </w:p>
              </w:tc>
              <w:tc>
                <w:tcPr>
                  <w:tcW w:w="1294" w:type="dxa"/>
                </w:tcPr>
                <w:p w14:paraId="1411E21E" w14:textId="73A85E2E" w:rsidR="00F81347" w:rsidRPr="00F81347" w:rsidRDefault="00F81347" w:rsidP="009B7433">
                  <w:pPr>
                    <w:rPr>
                      <w:color w:val="000000"/>
                      <w:sz w:val="22"/>
                      <w:szCs w:val="22"/>
                    </w:rPr>
                  </w:pPr>
                  <w:r>
                    <w:rPr>
                      <w:color w:val="000000"/>
                      <w:sz w:val="22"/>
                      <w:szCs w:val="22"/>
                    </w:rPr>
                    <w:t>79%</w:t>
                  </w:r>
                </w:p>
              </w:tc>
              <w:tc>
                <w:tcPr>
                  <w:tcW w:w="1266" w:type="dxa"/>
                </w:tcPr>
                <w:p w14:paraId="0D1C6002" w14:textId="342D3150" w:rsidR="00F81347" w:rsidRPr="00F81347" w:rsidRDefault="00F81347" w:rsidP="009B7433">
                  <w:pPr>
                    <w:rPr>
                      <w:color w:val="000000"/>
                      <w:sz w:val="22"/>
                      <w:szCs w:val="22"/>
                    </w:rPr>
                  </w:pPr>
                  <w:r>
                    <w:rPr>
                      <w:color w:val="000000"/>
                      <w:sz w:val="22"/>
                      <w:szCs w:val="22"/>
                    </w:rPr>
                    <w:t>82%</w:t>
                  </w:r>
                </w:p>
              </w:tc>
              <w:tc>
                <w:tcPr>
                  <w:tcW w:w="298" w:type="dxa"/>
                  <w:tcBorders>
                    <w:top w:val="nil"/>
                    <w:bottom w:val="nil"/>
                  </w:tcBorders>
                </w:tcPr>
                <w:p w14:paraId="149BEEAB" w14:textId="77777777" w:rsidR="00F81347" w:rsidRPr="00F81347" w:rsidRDefault="00F81347" w:rsidP="009B7433">
                  <w:pPr>
                    <w:rPr>
                      <w:color w:val="000000"/>
                      <w:sz w:val="22"/>
                      <w:szCs w:val="22"/>
                    </w:rPr>
                  </w:pPr>
                </w:p>
              </w:tc>
              <w:tc>
                <w:tcPr>
                  <w:tcW w:w="1334" w:type="dxa"/>
                </w:tcPr>
                <w:p w14:paraId="14AFA8C4" w14:textId="29801316" w:rsidR="00F81347" w:rsidRPr="00F81347" w:rsidRDefault="00F81347" w:rsidP="009B7433">
                  <w:pPr>
                    <w:rPr>
                      <w:color w:val="000000"/>
                      <w:sz w:val="22"/>
                      <w:szCs w:val="22"/>
                    </w:rPr>
                  </w:pPr>
                  <w:r>
                    <w:rPr>
                      <w:color w:val="000000"/>
                      <w:sz w:val="22"/>
                      <w:szCs w:val="22"/>
                    </w:rPr>
                    <w:t>2025</w:t>
                  </w:r>
                </w:p>
              </w:tc>
              <w:tc>
                <w:tcPr>
                  <w:tcW w:w="1388" w:type="dxa"/>
                </w:tcPr>
                <w:p w14:paraId="3D1FC39A" w14:textId="428BEC99" w:rsidR="00F81347" w:rsidRPr="00F81347" w:rsidRDefault="00F81347" w:rsidP="009B7433">
                  <w:pPr>
                    <w:rPr>
                      <w:color w:val="000000"/>
                      <w:sz w:val="22"/>
                      <w:szCs w:val="22"/>
                    </w:rPr>
                  </w:pPr>
                  <w:r>
                    <w:rPr>
                      <w:color w:val="000000"/>
                      <w:sz w:val="22"/>
                      <w:szCs w:val="22"/>
                    </w:rPr>
                    <w:t>76%</w:t>
                  </w:r>
                </w:p>
              </w:tc>
              <w:tc>
                <w:tcPr>
                  <w:tcW w:w="1203" w:type="dxa"/>
                </w:tcPr>
                <w:p w14:paraId="069FCE9B" w14:textId="3B1A8F94" w:rsidR="00F81347" w:rsidRPr="00F81347" w:rsidRDefault="00F81347" w:rsidP="009B7433">
                  <w:pPr>
                    <w:rPr>
                      <w:color w:val="000000"/>
                      <w:sz w:val="22"/>
                      <w:szCs w:val="22"/>
                    </w:rPr>
                  </w:pPr>
                  <w:r>
                    <w:rPr>
                      <w:color w:val="000000"/>
                      <w:sz w:val="22"/>
                      <w:szCs w:val="22"/>
                    </w:rPr>
                    <w:t>77%</w:t>
                  </w:r>
                </w:p>
              </w:tc>
            </w:tr>
            <w:tr w:rsidR="00F81347" w14:paraId="51945815" w14:textId="77777777" w:rsidTr="00F81347">
              <w:tc>
                <w:tcPr>
                  <w:tcW w:w="1281" w:type="dxa"/>
                </w:tcPr>
                <w:p w14:paraId="16C12617" w14:textId="3314B76E" w:rsidR="00F81347" w:rsidRPr="00F81347" w:rsidRDefault="00F81347" w:rsidP="009B7433">
                  <w:pPr>
                    <w:rPr>
                      <w:color w:val="000000"/>
                      <w:sz w:val="22"/>
                      <w:szCs w:val="22"/>
                    </w:rPr>
                  </w:pPr>
                  <w:r w:rsidRPr="00F81347">
                    <w:rPr>
                      <w:color w:val="000000"/>
                      <w:sz w:val="22"/>
                      <w:szCs w:val="22"/>
                    </w:rPr>
                    <w:t>2024</w:t>
                  </w:r>
                </w:p>
              </w:tc>
              <w:tc>
                <w:tcPr>
                  <w:tcW w:w="1294" w:type="dxa"/>
                </w:tcPr>
                <w:p w14:paraId="0ADF0B23" w14:textId="7CBBB0EC" w:rsidR="00F81347" w:rsidRPr="00F81347" w:rsidRDefault="00F81347" w:rsidP="009B7433">
                  <w:pPr>
                    <w:rPr>
                      <w:color w:val="000000"/>
                      <w:sz w:val="22"/>
                      <w:szCs w:val="22"/>
                    </w:rPr>
                  </w:pPr>
                  <w:r>
                    <w:rPr>
                      <w:color w:val="000000"/>
                      <w:sz w:val="22"/>
                      <w:szCs w:val="22"/>
                    </w:rPr>
                    <w:t>80%</w:t>
                  </w:r>
                </w:p>
              </w:tc>
              <w:tc>
                <w:tcPr>
                  <w:tcW w:w="1266" w:type="dxa"/>
                </w:tcPr>
                <w:p w14:paraId="29BAFBD5" w14:textId="6CDA4CE6" w:rsidR="00F81347" w:rsidRPr="00F81347" w:rsidRDefault="00F81347" w:rsidP="009B7433">
                  <w:pPr>
                    <w:rPr>
                      <w:color w:val="000000"/>
                      <w:sz w:val="22"/>
                      <w:szCs w:val="22"/>
                    </w:rPr>
                  </w:pPr>
                  <w:r>
                    <w:rPr>
                      <w:color w:val="000000"/>
                      <w:sz w:val="22"/>
                      <w:szCs w:val="22"/>
                    </w:rPr>
                    <w:t>81%</w:t>
                  </w:r>
                </w:p>
              </w:tc>
              <w:tc>
                <w:tcPr>
                  <w:tcW w:w="298" w:type="dxa"/>
                  <w:tcBorders>
                    <w:top w:val="nil"/>
                    <w:bottom w:val="nil"/>
                  </w:tcBorders>
                </w:tcPr>
                <w:p w14:paraId="055BE41D" w14:textId="77777777" w:rsidR="00F81347" w:rsidRPr="00F81347" w:rsidRDefault="00F81347" w:rsidP="009B7433">
                  <w:pPr>
                    <w:rPr>
                      <w:color w:val="000000"/>
                      <w:sz w:val="22"/>
                      <w:szCs w:val="22"/>
                    </w:rPr>
                  </w:pPr>
                </w:p>
              </w:tc>
              <w:tc>
                <w:tcPr>
                  <w:tcW w:w="1334" w:type="dxa"/>
                </w:tcPr>
                <w:p w14:paraId="7BBE0603" w14:textId="204896CE" w:rsidR="00F81347" w:rsidRPr="00F81347" w:rsidRDefault="00F81347" w:rsidP="009B7433">
                  <w:pPr>
                    <w:rPr>
                      <w:color w:val="000000"/>
                      <w:sz w:val="22"/>
                      <w:szCs w:val="22"/>
                    </w:rPr>
                  </w:pPr>
                  <w:r>
                    <w:rPr>
                      <w:color w:val="000000"/>
                      <w:sz w:val="22"/>
                      <w:szCs w:val="22"/>
                    </w:rPr>
                    <w:t>2024</w:t>
                  </w:r>
                </w:p>
              </w:tc>
              <w:tc>
                <w:tcPr>
                  <w:tcW w:w="1388" w:type="dxa"/>
                </w:tcPr>
                <w:p w14:paraId="314AD5D2" w14:textId="2F4ABC25" w:rsidR="00F81347" w:rsidRPr="00F81347" w:rsidRDefault="00F81347" w:rsidP="009B7433">
                  <w:pPr>
                    <w:rPr>
                      <w:color w:val="000000"/>
                      <w:sz w:val="22"/>
                      <w:szCs w:val="22"/>
                    </w:rPr>
                  </w:pPr>
                  <w:r>
                    <w:rPr>
                      <w:color w:val="000000"/>
                      <w:sz w:val="22"/>
                      <w:szCs w:val="22"/>
                    </w:rPr>
                    <w:t>79%</w:t>
                  </w:r>
                </w:p>
              </w:tc>
              <w:tc>
                <w:tcPr>
                  <w:tcW w:w="1203" w:type="dxa"/>
                </w:tcPr>
                <w:p w14:paraId="1EF9B65A" w14:textId="04F8C69A" w:rsidR="00F81347" w:rsidRPr="00F81347" w:rsidRDefault="00F81347" w:rsidP="009B7433">
                  <w:pPr>
                    <w:rPr>
                      <w:color w:val="000000"/>
                      <w:sz w:val="22"/>
                      <w:szCs w:val="22"/>
                    </w:rPr>
                  </w:pPr>
                  <w:r>
                    <w:rPr>
                      <w:color w:val="000000"/>
                      <w:sz w:val="22"/>
                      <w:szCs w:val="22"/>
                    </w:rPr>
                    <w:t>76%</w:t>
                  </w:r>
                </w:p>
              </w:tc>
            </w:tr>
            <w:tr w:rsidR="00F81347" w14:paraId="1E4E09B7" w14:textId="77777777" w:rsidTr="00F81347">
              <w:tc>
                <w:tcPr>
                  <w:tcW w:w="1281" w:type="dxa"/>
                </w:tcPr>
                <w:p w14:paraId="4303FBF7" w14:textId="5018CBE1" w:rsidR="00F81347" w:rsidRPr="00F81347" w:rsidRDefault="00F81347" w:rsidP="009B7433">
                  <w:pPr>
                    <w:rPr>
                      <w:color w:val="000000"/>
                      <w:sz w:val="22"/>
                      <w:szCs w:val="22"/>
                    </w:rPr>
                  </w:pPr>
                  <w:r w:rsidRPr="00F81347">
                    <w:rPr>
                      <w:color w:val="000000"/>
                      <w:sz w:val="22"/>
                      <w:szCs w:val="22"/>
                    </w:rPr>
                    <w:t>2023</w:t>
                  </w:r>
                </w:p>
              </w:tc>
              <w:tc>
                <w:tcPr>
                  <w:tcW w:w="1294" w:type="dxa"/>
                </w:tcPr>
                <w:p w14:paraId="0AE60082" w14:textId="6D6E8AC3" w:rsidR="00F81347" w:rsidRPr="00F81347" w:rsidRDefault="00F81347" w:rsidP="009B7433">
                  <w:pPr>
                    <w:rPr>
                      <w:color w:val="000000"/>
                      <w:sz w:val="22"/>
                      <w:szCs w:val="22"/>
                    </w:rPr>
                  </w:pPr>
                  <w:r>
                    <w:rPr>
                      <w:color w:val="000000"/>
                      <w:sz w:val="22"/>
                      <w:szCs w:val="22"/>
                    </w:rPr>
                    <w:t>73%</w:t>
                  </w:r>
                </w:p>
              </w:tc>
              <w:tc>
                <w:tcPr>
                  <w:tcW w:w="1266" w:type="dxa"/>
                </w:tcPr>
                <w:p w14:paraId="34AE4389" w14:textId="7C088429" w:rsidR="00F81347" w:rsidRPr="00F81347" w:rsidRDefault="00F81347" w:rsidP="009B7433">
                  <w:pPr>
                    <w:rPr>
                      <w:color w:val="000000"/>
                      <w:sz w:val="22"/>
                      <w:szCs w:val="22"/>
                    </w:rPr>
                  </w:pPr>
                  <w:r>
                    <w:rPr>
                      <w:color w:val="000000"/>
                      <w:sz w:val="22"/>
                      <w:szCs w:val="22"/>
                    </w:rPr>
                    <w:t>80%</w:t>
                  </w:r>
                </w:p>
              </w:tc>
              <w:tc>
                <w:tcPr>
                  <w:tcW w:w="298" w:type="dxa"/>
                  <w:tcBorders>
                    <w:top w:val="nil"/>
                  </w:tcBorders>
                </w:tcPr>
                <w:p w14:paraId="1C619D1D" w14:textId="77777777" w:rsidR="00F81347" w:rsidRPr="00F81347" w:rsidRDefault="00F81347" w:rsidP="009B7433">
                  <w:pPr>
                    <w:rPr>
                      <w:color w:val="000000"/>
                      <w:sz w:val="22"/>
                      <w:szCs w:val="22"/>
                    </w:rPr>
                  </w:pPr>
                </w:p>
              </w:tc>
              <w:tc>
                <w:tcPr>
                  <w:tcW w:w="1334" w:type="dxa"/>
                </w:tcPr>
                <w:p w14:paraId="58210946" w14:textId="3FEF17BA" w:rsidR="00F81347" w:rsidRPr="00F81347" w:rsidRDefault="00F81347" w:rsidP="009B7433">
                  <w:pPr>
                    <w:rPr>
                      <w:color w:val="000000"/>
                      <w:sz w:val="22"/>
                      <w:szCs w:val="22"/>
                    </w:rPr>
                  </w:pPr>
                  <w:r>
                    <w:rPr>
                      <w:color w:val="000000"/>
                      <w:sz w:val="22"/>
                      <w:szCs w:val="22"/>
                    </w:rPr>
                    <w:t>2023</w:t>
                  </w:r>
                </w:p>
              </w:tc>
              <w:tc>
                <w:tcPr>
                  <w:tcW w:w="1388" w:type="dxa"/>
                </w:tcPr>
                <w:p w14:paraId="67D519CE" w14:textId="15E952B2" w:rsidR="00F81347" w:rsidRPr="00F81347" w:rsidRDefault="00F81347" w:rsidP="009B7433">
                  <w:pPr>
                    <w:rPr>
                      <w:color w:val="000000"/>
                      <w:sz w:val="22"/>
                      <w:szCs w:val="22"/>
                    </w:rPr>
                  </w:pPr>
                  <w:r>
                    <w:rPr>
                      <w:color w:val="000000"/>
                      <w:sz w:val="22"/>
                      <w:szCs w:val="22"/>
                    </w:rPr>
                    <w:t>70%</w:t>
                  </w:r>
                </w:p>
              </w:tc>
              <w:tc>
                <w:tcPr>
                  <w:tcW w:w="1203" w:type="dxa"/>
                </w:tcPr>
                <w:p w14:paraId="754BDD7B" w14:textId="2C0050C8" w:rsidR="00F81347" w:rsidRPr="00F81347" w:rsidRDefault="00F81347" w:rsidP="009B7433">
                  <w:pPr>
                    <w:rPr>
                      <w:color w:val="000000"/>
                      <w:sz w:val="22"/>
                      <w:szCs w:val="22"/>
                    </w:rPr>
                  </w:pPr>
                  <w:r>
                    <w:rPr>
                      <w:color w:val="000000"/>
                      <w:sz w:val="22"/>
                      <w:szCs w:val="22"/>
                    </w:rPr>
                    <w:t>76%</w:t>
                  </w:r>
                </w:p>
              </w:tc>
            </w:tr>
          </w:tbl>
          <w:p w14:paraId="773C78FF" w14:textId="77777777" w:rsidR="00F81347" w:rsidRDefault="00F81347" w:rsidP="009B7433">
            <w:pPr>
              <w:rPr>
                <w:color w:val="000000"/>
              </w:rPr>
            </w:pPr>
          </w:p>
          <w:p w14:paraId="7145BF47" w14:textId="5D966066" w:rsidR="00FB045D" w:rsidRDefault="00FB045D" w:rsidP="009B7433">
            <w:pPr>
              <w:rPr>
                <w:color w:val="000000"/>
              </w:rPr>
            </w:pPr>
            <w:r>
              <w:rPr>
                <w:color w:val="000000"/>
              </w:rPr>
              <w:t xml:space="preserve">Adaptive teaching has been a focus throughout the year. All teachers have attended staff meetings and </w:t>
            </w:r>
            <w:r w:rsidR="0032353A">
              <w:rPr>
                <w:color w:val="000000"/>
              </w:rPr>
              <w:t xml:space="preserve">have had peer reviews to develop adaptive teaching strategies. Teachers have worked with teachers from the same year group as well as a different year group to share good practise. The AHT has completed shared lessons with the ECT. </w:t>
            </w:r>
          </w:p>
          <w:p w14:paraId="6CFD1D1E" w14:textId="6E60F812" w:rsidR="0032353A" w:rsidRDefault="0032353A" w:rsidP="009B7433">
            <w:pPr>
              <w:rPr>
                <w:color w:val="000000"/>
              </w:rPr>
            </w:pPr>
            <w:r>
              <w:rPr>
                <w:color w:val="000000"/>
              </w:rPr>
              <w:t>In year 1, the majority of children received daily synthetic phonics lessons within their classroom. Some children were on a SEND pathway and received phonics lessons appropriate for their needs.</w:t>
            </w:r>
          </w:p>
          <w:p w14:paraId="1919AE59" w14:textId="3EC54316" w:rsidR="0032353A" w:rsidRDefault="0032353A" w:rsidP="009B7433">
            <w:pPr>
              <w:rPr>
                <w:color w:val="000000"/>
              </w:rPr>
            </w:pPr>
            <w:r>
              <w:rPr>
                <w:color w:val="000000"/>
              </w:rPr>
              <w:t>Pupil Premium Passport meetings were held termly and interventions were monitored. Teachers discussed the provision and achievement of children in receipt of the Pupil Premium Grant.</w:t>
            </w:r>
          </w:p>
          <w:p w14:paraId="2DE69EB2" w14:textId="77777777" w:rsidR="00EE6C7E" w:rsidRDefault="00EE6C7E" w:rsidP="009B7433">
            <w:pPr>
              <w:rPr>
                <w:b/>
                <w:bCs/>
                <w:color w:val="000000"/>
                <w:u w:val="single"/>
              </w:rPr>
            </w:pPr>
          </w:p>
          <w:p w14:paraId="009CF624" w14:textId="77777777" w:rsidR="00EE6C7E" w:rsidRDefault="00EE6C7E" w:rsidP="009B7433">
            <w:pPr>
              <w:rPr>
                <w:b/>
                <w:bCs/>
                <w:color w:val="000000"/>
                <w:u w:val="single"/>
              </w:rPr>
            </w:pPr>
          </w:p>
          <w:p w14:paraId="30AB7F28" w14:textId="0362CE9C" w:rsidR="0032353A" w:rsidRDefault="0032353A" w:rsidP="009B7433">
            <w:pPr>
              <w:rPr>
                <w:b/>
                <w:bCs/>
                <w:color w:val="000000"/>
                <w:u w:val="single"/>
              </w:rPr>
            </w:pPr>
            <w:r w:rsidRPr="0032353A">
              <w:rPr>
                <w:b/>
                <w:bCs/>
                <w:color w:val="000000"/>
                <w:u w:val="single"/>
              </w:rPr>
              <w:lastRenderedPageBreak/>
              <w:t>Targeted academic support</w:t>
            </w:r>
          </w:p>
          <w:p w14:paraId="562F4D6A" w14:textId="316B4ED4" w:rsidR="0032353A" w:rsidRDefault="007C1D2C" w:rsidP="009B7433">
            <w:pPr>
              <w:rPr>
                <w:color w:val="000000"/>
                <w:u w:val="single"/>
              </w:rPr>
            </w:pPr>
            <w:r w:rsidRPr="007C1D2C">
              <w:rPr>
                <w:color w:val="000000"/>
                <w:u w:val="single"/>
              </w:rPr>
              <w:t>S&amp;L</w:t>
            </w:r>
          </w:p>
          <w:p w14:paraId="42B78B9E" w14:textId="56185A2D" w:rsidR="007C1D2C" w:rsidRPr="004B579E" w:rsidRDefault="009D173D" w:rsidP="009B7433">
            <w:pPr>
              <w:rPr>
                <w:color w:val="000000"/>
              </w:rPr>
            </w:pPr>
            <w:r w:rsidRPr="009D173D">
              <w:rPr>
                <w:color w:val="000000"/>
              </w:rPr>
              <w:t xml:space="preserve">In reception, 9 </w:t>
            </w:r>
            <w:r w:rsidR="00B82F84">
              <w:rPr>
                <w:color w:val="000000"/>
              </w:rPr>
              <w:t xml:space="preserve">disadvantaged </w:t>
            </w:r>
            <w:r w:rsidRPr="009D173D">
              <w:rPr>
                <w:color w:val="000000"/>
              </w:rPr>
              <w:t>children were supported with the ‘Talking tables’ intervention and of those 9, 7 achieved the ‘Listening and attention’ early learning goal. 5 children had access to the ‘Little listeners’ intervention and 2 of those achieved the early learning goal for ‘Listening and attention’. All of the children that did not achieve their early learning goal had a specific SEN need.</w:t>
            </w:r>
            <w:r w:rsidR="004B579E">
              <w:rPr>
                <w:color w:val="000000"/>
              </w:rPr>
              <w:t xml:space="preserve"> Out of the 14 children targeted, 5 of them were eligible for the Pupil Premium Grant and over half of them met their early learning goal for ‘Listening and attention.’</w:t>
            </w:r>
          </w:p>
          <w:p w14:paraId="5C765349" w14:textId="23ACC7E6" w:rsidR="007C1D2C" w:rsidRDefault="007C1D2C" w:rsidP="009B7433">
            <w:pPr>
              <w:rPr>
                <w:color w:val="000000"/>
                <w:u w:val="single"/>
              </w:rPr>
            </w:pPr>
            <w:r w:rsidRPr="007C1D2C">
              <w:rPr>
                <w:color w:val="000000"/>
                <w:u w:val="single"/>
              </w:rPr>
              <w:t>Phonics</w:t>
            </w:r>
          </w:p>
          <w:p w14:paraId="367D9534" w14:textId="76AACDC4" w:rsidR="007D4779" w:rsidRDefault="007D4779" w:rsidP="009B7433">
            <w:pPr>
              <w:rPr>
                <w:color w:val="000000"/>
              </w:rPr>
            </w:pPr>
            <w:r w:rsidRPr="0079664F">
              <w:rPr>
                <w:color w:val="000000"/>
              </w:rPr>
              <w:t xml:space="preserve">In reception, </w:t>
            </w:r>
            <w:r w:rsidR="0079664F">
              <w:rPr>
                <w:color w:val="000000"/>
              </w:rPr>
              <w:t xml:space="preserve">71 children across the year group were targeted for phonics </w:t>
            </w:r>
            <w:r w:rsidR="004B579E">
              <w:rPr>
                <w:color w:val="000000"/>
              </w:rPr>
              <w:t>interven</w:t>
            </w:r>
            <w:r w:rsidR="0079664F">
              <w:rPr>
                <w:color w:val="000000"/>
              </w:rPr>
              <w:t>tions and 26 of those were in receipt of the Pupil Premium Grant. This is 26 out of the 42 children that are eligible. As soon as children had caught up with their GPC knowledge</w:t>
            </w:r>
            <w:r w:rsidR="004B579E">
              <w:rPr>
                <w:color w:val="000000"/>
              </w:rPr>
              <w:t xml:space="preserve"> and or</w:t>
            </w:r>
            <w:r w:rsidR="0079664F">
              <w:rPr>
                <w:color w:val="000000"/>
              </w:rPr>
              <w:t xml:space="preserve"> blending ability</w:t>
            </w:r>
            <w:r w:rsidR="004B579E">
              <w:rPr>
                <w:color w:val="000000"/>
              </w:rPr>
              <w:t>, more children were targeted to allow us to target as many children as possible.</w:t>
            </w:r>
          </w:p>
          <w:p w14:paraId="62E43DC6" w14:textId="38038CFD" w:rsidR="004B579E" w:rsidRPr="0079664F" w:rsidRDefault="004B579E" w:rsidP="009B7433">
            <w:pPr>
              <w:rPr>
                <w:color w:val="000000"/>
              </w:rPr>
            </w:pPr>
            <w:r>
              <w:rPr>
                <w:color w:val="000000"/>
              </w:rPr>
              <w:t xml:space="preserve">In year one, there were 41 children eligible for the Pupil Premium Grant and 27 of those children were targeted for phonics interventions across the year. Of the 27 children that received additional support, </w:t>
            </w:r>
            <w:r w:rsidRPr="00C137CE">
              <w:rPr>
                <w:color w:val="auto"/>
              </w:rPr>
              <w:t xml:space="preserve">100% of </w:t>
            </w:r>
            <w:r>
              <w:rPr>
                <w:color w:val="000000"/>
              </w:rPr>
              <w:t>them passed the phonics screening check.</w:t>
            </w:r>
          </w:p>
          <w:p w14:paraId="2BB7E766" w14:textId="6B911873" w:rsidR="007C1D2C" w:rsidRDefault="007C1D2C" w:rsidP="009B7433">
            <w:pPr>
              <w:rPr>
                <w:color w:val="000000"/>
                <w:u w:val="single"/>
              </w:rPr>
            </w:pPr>
            <w:r w:rsidRPr="007C1D2C">
              <w:rPr>
                <w:color w:val="000000"/>
                <w:u w:val="single"/>
              </w:rPr>
              <w:t>Oracy</w:t>
            </w:r>
          </w:p>
          <w:p w14:paraId="54A7FED0" w14:textId="30E40F93" w:rsidR="001F4523" w:rsidRDefault="007D4779" w:rsidP="009B7433">
            <w:pPr>
              <w:rPr>
                <w:color w:val="000000"/>
              </w:rPr>
            </w:pPr>
            <w:r>
              <w:rPr>
                <w:color w:val="000000"/>
              </w:rPr>
              <w:t>In year one,</w:t>
            </w:r>
            <w:r w:rsidR="003F5C58">
              <w:rPr>
                <w:color w:val="000000"/>
              </w:rPr>
              <w:t xml:space="preserve"> 7 disadvantaged children took part in the ‘Speech Bubble’ programme.</w:t>
            </w:r>
          </w:p>
          <w:p w14:paraId="38364794" w14:textId="5CE95CAD" w:rsidR="003F5C58" w:rsidRDefault="003F5C58" w:rsidP="009B7433">
            <w:pPr>
              <w:rPr>
                <w:color w:val="000000"/>
              </w:rPr>
            </w:pPr>
            <w:r w:rsidRPr="003F5C58">
              <w:rPr>
                <w:noProof/>
                <w:color w:val="000000"/>
              </w:rPr>
              <w:drawing>
                <wp:inline distT="0" distB="0" distL="0" distR="0" wp14:anchorId="43CADC7A" wp14:editId="7EB60F21">
                  <wp:extent cx="1306286" cy="995466"/>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16085" cy="1002933"/>
                          </a:xfrm>
                          <a:prstGeom prst="rect">
                            <a:avLst/>
                          </a:prstGeom>
                        </pic:spPr>
                      </pic:pic>
                    </a:graphicData>
                  </a:graphic>
                </wp:inline>
              </w:drawing>
            </w:r>
            <w:r w:rsidRPr="003F5C58">
              <w:rPr>
                <w:noProof/>
              </w:rPr>
              <w:t xml:space="preserve"> </w:t>
            </w:r>
            <w:r w:rsidRPr="003F5C58">
              <w:rPr>
                <w:noProof/>
                <w:color w:val="000000"/>
              </w:rPr>
              <w:drawing>
                <wp:inline distT="0" distB="0" distL="0" distR="0" wp14:anchorId="77A428D0" wp14:editId="086AA1AC">
                  <wp:extent cx="1377537" cy="999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94463" cy="1011756"/>
                          </a:xfrm>
                          <a:prstGeom prst="rect">
                            <a:avLst/>
                          </a:prstGeom>
                        </pic:spPr>
                      </pic:pic>
                    </a:graphicData>
                  </a:graphic>
                </wp:inline>
              </w:drawing>
            </w:r>
            <w:r w:rsidR="0056645D" w:rsidRPr="0056645D">
              <w:rPr>
                <w:noProof/>
              </w:rPr>
              <w:t xml:space="preserve"> </w:t>
            </w:r>
            <w:r w:rsidR="0056645D" w:rsidRPr="0056645D">
              <w:rPr>
                <w:noProof/>
              </w:rPr>
              <w:drawing>
                <wp:inline distT="0" distB="0" distL="0" distR="0" wp14:anchorId="2C9B5D82" wp14:editId="054A8A45">
                  <wp:extent cx="1281958" cy="1015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03770" cy="1032615"/>
                          </a:xfrm>
                          <a:prstGeom prst="rect">
                            <a:avLst/>
                          </a:prstGeom>
                        </pic:spPr>
                      </pic:pic>
                    </a:graphicData>
                  </a:graphic>
                </wp:inline>
              </w:drawing>
            </w:r>
          </w:p>
          <w:p w14:paraId="241C66F7" w14:textId="29EE0EE2" w:rsidR="003F5C58" w:rsidRPr="003F5C58" w:rsidRDefault="003F5C58" w:rsidP="003F5C58">
            <w:pPr>
              <w:rPr>
                <w:color w:val="000000"/>
              </w:rPr>
            </w:pPr>
            <w:r w:rsidRPr="003F5C58">
              <w:rPr>
                <w:noProof/>
                <w:color w:val="000000"/>
              </w:rPr>
              <mc:AlternateContent>
                <mc:Choice Requires="wps">
                  <w:drawing>
                    <wp:anchor distT="36576" distB="36576" distL="36576" distR="36576" simplePos="0" relativeHeight="251660288" behindDoc="0" locked="0" layoutInCell="1" allowOverlap="1" wp14:anchorId="57E5C0A5" wp14:editId="37A57EC3">
                      <wp:simplePos x="0" y="0"/>
                      <wp:positionH relativeFrom="column">
                        <wp:posOffset>-25020</wp:posOffset>
                      </wp:positionH>
                      <wp:positionV relativeFrom="paragraph">
                        <wp:posOffset>545218</wp:posOffset>
                      </wp:positionV>
                      <wp:extent cx="6791325" cy="2679700"/>
                      <wp:effectExtent l="0" t="2540" r="127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91325" cy="26797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514CBA" id="Rectangle 2" o:spid="_x0000_s1026" style="position:absolute;margin-left:-1.95pt;margin-top:42.95pt;width:534.75pt;height:21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ZI7AEAAMcDAAAOAAAAZHJzL2Uyb0RvYy54bWysU8Fu1DAQvSPxD5bvbDZBtBBttqpaFSEV&#10;qGj5gFnHSSwSjxl7N7t8PWMnWSjcEBdrPB4/z3vzvLk6Dr04aPIGbSXz1VoKbRXWxraV/Pp09+qt&#10;FD6AraFHqyt50l5ebV++2Iyu1AV22NeaBINYX46ukl0Irswyrzo9gF+h05YPG6QBAm+pzWqCkdGH&#10;PivW64tsRKododLec/Z2OpTbhN80WoXPTeN1EH0lubeQVkrrLq7ZdgNlS+A6o+Y24B+6GMBYfvQM&#10;dQsBxJ7MX1CDUYQem7BSOGTYNEbpxIHZ5Os/2Dx24HTiwuJ4d5bJ/z9Y9enwQMLUlSyksDDwiL6w&#10;aGDbXosiyjM6X3LVo3ugSNC7e1TfvLB403GVvibCsdNQc1M5Q8zp1PrTyTFeHlGyZzBx4xlQ7MaP&#10;WHMN7AMm/Y4NDfEZVkYc05hO5zHpYxCKkxeX7/LXxRspFJ8VvLtcp0FmUC7XHfnwXuMgYlBJYkoJ&#10;Hg73PsR2oFxK4msW70zfJy/09lmCC6eMTmaaby/9T+rssD4xF8LJXfwbOOiQfkgxsrMq6b/vgbQU&#10;/QfLKkUbLgEtwW4JwCq+WskgxRTehMmue0em7Rg5T0wsXrNmjUlsYj9TF7PS7JZEcnZ2tOPv+1T1&#10;6/9tfwIAAP//AwBQSwMEFAAGAAgAAAAhANQe8lPeAAAACgEAAA8AAABkcnMvZG93bnJldi54bWxM&#10;j8FOwzAQRO9I/IO1SNxaG1BCGrKpqlb0iihcuLnxkkTE62C7beDrcU/0NFrNaOZttZzsII7kQ+8Y&#10;4W6uQBA3zvTcIry/Pc8KECFqNnpwTAg/FGBZX19VujTuxK903MVWpBIOpUboYhxLKUPTkdVh7kbi&#10;5H06b3VMp2+l8fqUyu0g75XKpdU9p4VOj7TuqPnaHSzCVJitUxvza1frl8l/tNuN/7aItzfT6glE&#10;pCn+h+GMn9ChTkx7d2ATxIAwe1ikJEKRJT37Ks9yEHuETD0uQNaVvHyh/gMAAP//AwBQSwECLQAU&#10;AAYACAAAACEAtoM4kv4AAADhAQAAEwAAAAAAAAAAAAAAAAAAAAAAW0NvbnRlbnRfVHlwZXNdLnht&#10;bFBLAQItABQABgAIAAAAIQA4/SH/1gAAAJQBAAALAAAAAAAAAAAAAAAAAC8BAABfcmVscy8ucmVs&#10;c1BLAQItABQABgAIAAAAIQDqhSZI7AEAAMcDAAAOAAAAAAAAAAAAAAAAAC4CAABkcnMvZTJvRG9j&#10;LnhtbFBLAQItABQABgAIAAAAIQDUHvJT3gAAAAoBAAAPAAAAAAAAAAAAAAAAAEYEAABkcnMvZG93&#10;bnJldi54bWxQSwUGAAAAAAQABADzAAAAUQUAAAAA&#10;" filled="f" stroked="f" strokeweight="2pt">
                      <v:shadow color="black [0]"/>
                      <o:lock v:ext="edit" shapetype="t"/>
                      <v:textbox inset="0,0,0,0"/>
                    </v:rect>
                  </w:pict>
                </mc:Fallback>
              </mc:AlternateContent>
            </w:r>
            <w:r w:rsidR="001F4523">
              <w:rPr>
                <w:color w:val="000000"/>
              </w:rPr>
              <w:t xml:space="preserve">Analysis from the Oracy </w:t>
            </w:r>
            <w:r>
              <w:rPr>
                <w:color w:val="000000"/>
              </w:rPr>
              <w:t>Intervention data showed that all disadvantaged children who received the additional oracy support made significant progress.</w:t>
            </w:r>
          </w:p>
          <w:tbl>
            <w:tblPr>
              <w:tblW w:w="6412" w:type="dxa"/>
              <w:tblCellMar>
                <w:left w:w="0" w:type="dxa"/>
                <w:right w:w="0" w:type="dxa"/>
              </w:tblCellMar>
              <w:tblLook w:val="04A0" w:firstRow="1" w:lastRow="0" w:firstColumn="1" w:lastColumn="0" w:noHBand="0" w:noVBand="1"/>
            </w:tblPr>
            <w:tblGrid>
              <w:gridCol w:w="1413"/>
              <w:gridCol w:w="1111"/>
              <w:gridCol w:w="1249"/>
              <w:gridCol w:w="2639"/>
            </w:tblGrid>
            <w:tr w:rsidR="003F5C58" w:rsidRPr="003F5C58" w14:paraId="0860445C" w14:textId="77777777" w:rsidTr="003F5C58">
              <w:trPr>
                <w:trHeight w:val="597"/>
              </w:trPr>
              <w:tc>
                <w:tcPr>
                  <w:tcW w:w="1413" w:type="dxa"/>
                  <w:tcBorders>
                    <w:top w:val="single" w:sz="4" w:space="0" w:color="5B9BD5"/>
                    <w:left w:val="single" w:sz="4" w:space="0" w:color="5B9BD5"/>
                    <w:bottom w:val="single" w:sz="4" w:space="0" w:color="ED7D31"/>
                    <w:right w:val="single" w:sz="4" w:space="0" w:color="5B9BD5"/>
                  </w:tcBorders>
                  <w:tcMar>
                    <w:top w:w="58" w:type="dxa"/>
                    <w:left w:w="58" w:type="dxa"/>
                    <w:bottom w:w="58" w:type="dxa"/>
                    <w:right w:w="58" w:type="dxa"/>
                  </w:tcMar>
                  <w:hideMark/>
                </w:tcPr>
                <w:p w14:paraId="70A6D038" w14:textId="7EB63B5A" w:rsidR="003F5C58" w:rsidRPr="003F5C58" w:rsidRDefault="003F5C58" w:rsidP="003F5C58">
                  <w:pPr>
                    <w:rPr>
                      <w:b/>
                      <w:bCs/>
                      <w:color w:val="000000"/>
                      <w:sz w:val="18"/>
                      <w:szCs w:val="18"/>
                    </w:rPr>
                  </w:pPr>
                  <w:r w:rsidRPr="003F5C58">
                    <w:rPr>
                      <w:b/>
                      <w:bCs/>
                      <w:color w:val="000000"/>
                      <w:sz w:val="18"/>
                      <w:szCs w:val="18"/>
                    </w:rPr>
                    <w:t xml:space="preserve">Name </w:t>
                  </w:r>
                </w:p>
              </w:tc>
              <w:tc>
                <w:tcPr>
                  <w:tcW w:w="111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657527D" w14:textId="25D38AF3" w:rsidR="003F5C58" w:rsidRPr="003F5C58" w:rsidRDefault="003F5C58" w:rsidP="003F5C58">
                  <w:pPr>
                    <w:rPr>
                      <w:b/>
                      <w:bCs/>
                      <w:color w:val="000000"/>
                      <w:sz w:val="18"/>
                      <w:szCs w:val="18"/>
                    </w:rPr>
                  </w:pPr>
                  <w:r w:rsidRPr="003F5C58">
                    <w:rPr>
                      <w:b/>
                      <w:bCs/>
                      <w:color w:val="000000"/>
                      <w:sz w:val="18"/>
                      <w:szCs w:val="18"/>
                    </w:rPr>
                    <w:t>Beginning</w:t>
                  </w:r>
                </w:p>
                <w:p w14:paraId="3F046B50" w14:textId="77777777" w:rsidR="003F5C58" w:rsidRPr="003F5C58" w:rsidRDefault="003F5C58" w:rsidP="003F5C58">
                  <w:pPr>
                    <w:rPr>
                      <w:b/>
                      <w:bCs/>
                      <w:color w:val="000000"/>
                      <w:sz w:val="18"/>
                      <w:szCs w:val="18"/>
                    </w:rPr>
                  </w:pPr>
                  <w:proofErr w:type="spellStart"/>
                  <w:r w:rsidRPr="003F5C58">
                    <w:rPr>
                      <w:b/>
                      <w:bCs/>
                      <w:color w:val="000000"/>
                      <w:sz w:val="18"/>
                      <w:szCs w:val="18"/>
                    </w:rPr>
                    <w:t>Aut</w:t>
                  </w:r>
                  <w:proofErr w:type="spellEnd"/>
                  <w:r w:rsidRPr="003F5C58">
                    <w:rPr>
                      <w:b/>
                      <w:bCs/>
                      <w:color w:val="000000"/>
                      <w:sz w:val="18"/>
                      <w:szCs w:val="18"/>
                    </w:rPr>
                    <w:t xml:space="preserve"> 2025</w:t>
                  </w:r>
                </w:p>
              </w:tc>
              <w:tc>
                <w:tcPr>
                  <w:tcW w:w="124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795B71A" w14:textId="36785BDF" w:rsidR="003F5C58" w:rsidRPr="003F5C58" w:rsidRDefault="003F5C58" w:rsidP="003F5C58">
                  <w:pPr>
                    <w:rPr>
                      <w:b/>
                      <w:bCs/>
                      <w:color w:val="000000"/>
                      <w:sz w:val="18"/>
                      <w:szCs w:val="18"/>
                    </w:rPr>
                  </w:pPr>
                  <w:r w:rsidRPr="003F5C58">
                    <w:rPr>
                      <w:b/>
                      <w:bCs/>
                      <w:color w:val="000000"/>
                      <w:sz w:val="18"/>
                      <w:szCs w:val="18"/>
                    </w:rPr>
                    <w:t>End Summer</w:t>
                  </w:r>
                </w:p>
                <w:p w14:paraId="359E2E86" w14:textId="77777777" w:rsidR="003F5C58" w:rsidRPr="003F5C58" w:rsidRDefault="003F5C58" w:rsidP="003F5C58">
                  <w:pPr>
                    <w:rPr>
                      <w:b/>
                      <w:bCs/>
                      <w:color w:val="000000"/>
                      <w:sz w:val="18"/>
                      <w:szCs w:val="18"/>
                    </w:rPr>
                  </w:pPr>
                  <w:r w:rsidRPr="003F5C58">
                    <w:rPr>
                      <w:b/>
                      <w:bCs/>
                      <w:color w:val="000000"/>
                      <w:sz w:val="18"/>
                      <w:szCs w:val="18"/>
                    </w:rPr>
                    <w:t>2025</w:t>
                  </w:r>
                </w:p>
              </w:tc>
              <w:tc>
                <w:tcPr>
                  <w:tcW w:w="263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06B8880" w14:textId="77777777" w:rsidR="003F5C58" w:rsidRPr="003F5C58" w:rsidRDefault="003F5C58" w:rsidP="003F5C58">
                  <w:pPr>
                    <w:rPr>
                      <w:b/>
                      <w:bCs/>
                      <w:color w:val="000000"/>
                      <w:sz w:val="18"/>
                      <w:szCs w:val="18"/>
                    </w:rPr>
                  </w:pPr>
                  <w:r w:rsidRPr="003F5C58">
                    <w:rPr>
                      <w:b/>
                      <w:bCs/>
                      <w:color w:val="000000"/>
                      <w:sz w:val="18"/>
                      <w:szCs w:val="18"/>
                    </w:rPr>
                    <w:t>Points progress from Autumn screening +</w:t>
                  </w:r>
                </w:p>
              </w:tc>
            </w:tr>
            <w:tr w:rsidR="003F5C58" w:rsidRPr="003F5C58" w14:paraId="57C1764C" w14:textId="77777777" w:rsidTr="003F5C58">
              <w:trPr>
                <w:trHeight w:val="216"/>
              </w:trPr>
              <w:tc>
                <w:tcPr>
                  <w:tcW w:w="1413" w:type="dxa"/>
                  <w:tcBorders>
                    <w:top w:val="single" w:sz="4" w:space="0" w:color="ED7D31"/>
                    <w:left w:val="single" w:sz="4" w:space="0" w:color="ED7D31"/>
                    <w:bottom w:val="single" w:sz="4" w:space="0" w:color="ED7D31"/>
                    <w:right w:val="single" w:sz="4" w:space="0" w:color="ED7D31"/>
                  </w:tcBorders>
                  <w:shd w:val="clear" w:color="auto" w:fill="auto"/>
                  <w:tcMar>
                    <w:top w:w="58" w:type="dxa"/>
                    <w:left w:w="58" w:type="dxa"/>
                    <w:bottom w:w="58" w:type="dxa"/>
                    <w:right w:w="58" w:type="dxa"/>
                  </w:tcMar>
                  <w:hideMark/>
                </w:tcPr>
                <w:p w14:paraId="702B3730" w14:textId="42296BEF" w:rsidR="003F5C58" w:rsidRPr="003F5C58" w:rsidRDefault="003F5C58" w:rsidP="003F5C58">
                  <w:pPr>
                    <w:rPr>
                      <w:color w:val="000000"/>
                      <w:sz w:val="18"/>
                      <w:szCs w:val="18"/>
                    </w:rPr>
                  </w:pPr>
                  <w:r w:rsidRPr="003F5C58">
                    <w:rPr>
                      <w:color w:val="000000"/>
                      <w:sz w:val="18"/>
                      <w:szCs w:val="18"/>
                    </w:rPr>
                    <w:t>Child A</w:t>
                  </w:r>
                </w:p>
              </w:tc>
              <w:tc>
                <w:tcPr>
                  <w:tcW w:w="1111"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hideMark/>
                </w:tcPr>
                <w:p w14:paraId="738C7E6C" w14:textId="77777777" w:rsidR="003F5C58" w:rsidRPr="003F5C58" w:rsidRDefault="003F5C58" w:rsidP="003F5C58">
                  <w:pPr>
                    <w:rPr>
                      <w:color w:val="000000"/>
                      <w:sz w:val="18"/>
                      <w:szCs w:val="18"/>
                    </w:rPr>
                  </w:pPr>
                  <w:r w:rsidRPr="003F5C58">
                    <w:rPr>
                      <w:color w:val="000000"/>
                      <w:sz w:val="18"/>
                      <w:szCs w:val="18"/>
                    </w:rPr>
                    <w:t>47</w:t>
                  </w:r>
                </w:p>
              </w:tc>
              <w:tc>
                <w:tcPr>
                  <w:tcW w:w="1249"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hideMark/>
                </w:tcPr>
                <w:p w14:paraId="6FDAF0DD" w14:textId="77777777" w:rsidR="003F5C58" w:rsidRPr="003F5C58" w:rsidRDefault="003F5C58" w:rsidP="003F5C58">
                  <w:pPr>
                    <w:rPr>
                      <w:color w:val="000000"/>
                      <w:sz w:val="18"/>
                      <w:szCs w:val="18"/>
                    </w:rPr>
                  </w:pPr>
                  <w:r w:rsidRPr="003F5C58">
                    <w:rPr>
                      <w:color w:val="000000"/>
                      <w:sz w:val="18"/>
                      <w:szCs w:val="18"/>
                    </w:rPr>
                    <w:t>66</w:t>
                  </w:r>
                </w:p>
              </w:tc>
              <w:tc>
                <w:tcPr>
                  <w:tcW w:w="2639"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hideMark/>
                </w:tcPr>
                <w:p w14:paraId="3D574366" w14:textId="77777777" w:rsidR="003F5C58" w:rsidRPr="003F5C58" w:rsidRDefault="003F5C58" w:rsidP="003F5C58">
                  <w:pPr>
                    <w:rPr>
                      <w:color w:val="000000"/>
                      <w:sz w:val="18"/>
                      <w:szCs w:val="18"/>
                    </w:rPr>
                  </w:pPr>
                  <w:r w:rsidRPr="003F5C58">
                    <w:rPr>
                      <w:color w:val="000000"/>
                      <w:sz w:val="18"/>
                      <w:szCs w:val="18"/>
                    </w:rPr>
                    <w:t>+ 19</w:t>
                  </w:r>
                </w:p>
              </w:tc>
            </w:tr>
            <w:tr w:rsidR="003F5C58" w:rsidRPr="003F5C58" w14:paraId="2CD6F832" w14:textId="77777777" w:rsidTr="003F5C58">
              <w:trPr>
                <w:trHeight w:val="331"/>
              </w:trPr>
              <w:tc>
                <w:tcPr>
                  <w:tcW w:w="1413" w:type="dxa"/>
                  <w:tcBorders>
                    <w:top w:val="single" w:sz="4" w:space="0" w:color="ED7D31"/>
                    <w:left w:val="single" w:sz="4" w:space="0" w:color="5B9BD5"/>
                    <w:bottom w:val="single" w:sz="4" w:space="0" w:color="5B9BD5"/>
                    <w:right w:val="single" w:sz="4" w:space="0" w:color="5B9BD5"/>
                  </w:tcBorders>
                  <w:shd w:val="clear" w:color="auto" w:fill="auto"/>
                  <w:tcMar>
                    <w:top w:w="58" w:type="dxa"/>
                    <w:left w:w="58" w:type="dxa"/>
                    <w:bottom w:w="58" w:type="dxa"/>
                    <w:right w:w="58" w:type="dxa"/>
                  </w:tcMar>
                </w:tcPr>
                <w:p w14:paraId="33E41E12" w14:textId="5BC36D5D" w:rsidR="003F5C58" w:rsidRPr="003F5C58" w:rsidRDefault="003F5C58" w:rsidP="003F5C58">
                  <w:pPr>
                    <w:rPr>
                      <w:color w:val="000000"/>
                      <w:sz w:val="18"/>
                      <w:szCs w:val="18"/>
                    </w:rPr>
                  </w:pPr>
                  <w:r w:rsidRPr="003F5C58">
                    <w:rPr>
                      <w:color w:val="000000"/>
                      <w:sz w:val="18"/>
                      <w:szCs w:val="18"/>
                    </w:rPr>
                    <w:t>Child B</w:t>
                  </w:r>
                </w:p>
              </w:tc>
              <w:tc>
                <w:tcPr>
                  <w:tcW w:w="1111"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tcPr>
                <w:p w14:paraId="499F7B57" w14:textId="2A39A575" w:rsidR="003F5C58" w:rsidRPr="003F5C58" w:rsidRDefault="003F5C58" w:rsidP="003F5C58">
                  <w:pPr>
                    <w:rPr>
                      <w:color w:val="000000"/>
                      <w:sz w:val="18"/>
                      <w:szCs w:val="18"/>
                    </w:rPr>
                  </w:pPr>
                  <w:r w:rsidRPr="003F5C58">
                    <w:rPr>
                      <w:color w:val="000000"/>
                      <w:sz w:val="18"/>
                      <w:szCs w:val="18"/>
                    </w:rPr>
                    <w:t>31.5</w:t>
                  </w:r>
                </w:p>
              </w:tc>
              <w:tc>
                <w:tcPr>
                  <w:tcW w:w="1249"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tcPr>
                <w:p w14:paraId="064B93F2" w14:textId="46BDBFEB" w:rsidR="003F5C58" w:rsidRPr="003F5C58" w:rsidRDefault="003F5C58" w:rsidP="003F5C58">
                  <w:pPr>
                    <w:rPr>
                      <w:color w:val="000000"/>
                      <w:sz w:val="18"/>
                      <w:szCs w:val="18"/>
                    </w:rPr>
                  </w:pPr>
                  <w:r w:rsidRPr="003F5C58">
                    <w:rPr>
                      <w:color w:val="000000"/>
                      <w:sz w:val="18"/>
                      <w:szCs w:val="18"/>
                    </w:rPr>
                    <w:t>66</w:t>
                  </w:r>
                </w:p>
              </w:tc>
              <w:tc>
                <w:tcPr>
                  <w:tcW w:w="2639"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tcPr>
                <w:p w14:paraId="1C776E80" w14:textId="565AE8F3" w:rsidR="003F5C58" w:rsidRPr="003F5C58" w:rsidRDefault="003F5C58" w:rsidP="003F5C58">
                  <w:pPr>
                    <w:rPr>
                      <w:color w:val="000000"/>
                      <w:sz w:val="18"/>
                      <w:szCs w:val="18"/>
                    </w:rPr>
                  </w:pPr>
                  <w:r w:rsidRPr="003F5C58">
                    <w:rPr>
                      <w:color w:val="000000"/>
                      <w:sz w:val="18"/>
                      <w:szCs w:val="18"/>
                    </w:rPr>
                    <w:t>+35.5</w:t>
                  </w:r>
                </w:p>
              </w:tc>
            </w:tr>
            <w:tr w:rsidR="003F5C58" w:rsidRPr="003F5C58" w14:paraId="46060213" w14:textId="77777777" w:rsidTr="003F5C58">
              <w:trPr>
                <w:trHeight w:val="262"/>
              </w:trPr>
              <w:tc>
                <w:tcPr>
                  <w:tcW w:w="1413"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hideMark/>
                </w:tcPr>
                <w:p w14:paraId="4DFC6BE2" w14:textId="26E13C91" w:rsidR="003F5C58" w:rsidRPr="003F5C58" w:rsidRDefault="003F5C58" w:rsidP="003F5C58">
                  <w:pPr>
                    <w:rPr>
                      <w:color w:val="000000"/>
                      <w:sz w:val="18"/>
                      <w:szCs w:val="18"/>
                    </w:rPr>
                  </w:pPr>
                  <w:r w:rsidRPr="003F5C58">
                    <w:rPr>
                      <w:color w:val="000000"/>
                      <w:sz w:val="18"/>
                      <w:szCs w:val="18"/>
                    </w:rPr>
                    <w:lastRenderedPageBreak/>
                    <w:t>Child C</w:t>
                  </w:r>
                </w:p>
              </w:tc>
              <w:tc>
                <w:tcPr>
                  <w:tcW w:w="1111"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hideMark/>
                </w:tcPr>
                <w:p w14:paraId="54577AAC" w14:textId="77777777" w:rsidR="003F5C58" w:rsidRPr="003F5C58" w:rsidRDefault="003F5C58" w:rsidP="003F5C58">
                  <w:pPr>
                    <w:rPr>
                      <w:color w:val="000000"/>
                      <w:sz w:val="18"/>
                      <w:szCs w:val="18"/>
                    </w:rPr>
                  </w:pPr>
                  <w:r w:rsidRPr="003F5C58">
                    <w:rPr>
                      <w:color w:val="000000"/>
                      <w:sz w:val="18"/>
                      <w:szCs w:val="18"/>
                    </w:rPr>
                    <w:t>36</w:t>
                  </w:r>
                </w:p>
              </w:tc>
              <w:tc>
                <w:tcPr>
                  <w:tcW w:w="1249"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hideMark/>
                </w:tcPr>
                <w:p w14:paraId="3B09F878" w14:textId="77777777" w:rsidR="003F5C58" w:rsidRPr="003F5C58" w:rsidRDefault="003F5C58" w:rsidP="003F5C58">
                  <w:pPr>
                    <w:rPr>
                      <w:color w:val="000000"/>
                      <w:sz w:val="18"/>
                      <w:szCs w:val="18"/>
                    </w:rPr>
                  </w:pPr>
                  <w:r w:rsidRPr="003F5C58">
                    <w:rPr>
                      <w:color w:val="000000"/>
                      <w:sz w:val="18"/>
                      <w:szCs w:val="18"/>
                    </w:rPr>
                    <w:t>53</w:t>
                  </w:r>
                </w:p>
              </w:tc>
              <w:tc>
                <w:tcPr>
                  <w:tcW w:w="2639" w:type="dxa"/>
                  <w:tcBorders>
                    <w:top w:val="single" w:sz="4" w:space="0" w:color="5B9BD5"/>
                    <w:left w:val="single" w:sz="4" w:space="0" w:color="5B9BD5"/>
                    <w:bottom w:val="single" w:sz="4" w:space="0" w:color="5B9BD5"/>
                    <w:right w:val="single" w:sz="4" w:space="0" w:color="5B9BD5"/>
                  </w:tcBorders>
                  <w:shd w:val="clear" w:color="auto" w:fill="auto"/>
                  <w:tcMar>
                    <w:top w:w="58" w:type="dxa"/>
                    <w:left w:w="58" w:type="dxa"/>
                    <w:bottom w:w="58" w:type="dxa"/>
                    <w:right w:w="58" w:type="dxa"/>
                  </w:tcMar>
                  <w:hideMark/>
                </w:tcPr>
                <w:p w14:paraId="088DE139" w14:textId="77777777" w:rsidR="003F5C58" w:rsidRPr="003F5C58" w:rsidRDefault="003F5C58" w:rsidP="003F5C58">
                  <w:pPr>
                    <w:rPr>
                      <w:color w:val="000000"/>
                      <w:sz w:val="18"/>
                      <w:szCs w:val="18"/>
                    </w:rPr>
                  </w:pPr>
                  <w:r w:rsidRPr="003F5C58">
                    <w:rPr>
                      <w:color w:val="000000"/>
                      <w:sz w:val="18"/>
                      <w:szCs w:val="18"/>
                    </w:rPr>
                    <w:t xml:space="preserve"> + 17</w:t>
                  </w:r>
                </w:p>
              </w:tc>
            </w:tr>
            <w:tr w:rsidR="003F5C58" w:rsidRPr="003F5C58" w14:paraId="10AB1E54" w14:textId="77777777" w:rsidTr="003F5C58">
              <w:trPr>
                <w:trHeight w:val="250"/>
              </w:trPr>
              <w:tc>
                <w:tcPr>
                  <w:tcW w:w="141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6F8A7FD8" w14:textId="0797FA4C" w:rsidR="003F5C58" w:rsidRPr="003F5C58" w:rsidRDefault="003F5C58" w:rsidP="003F5C58">
                  <w:pPr>
                    <w:rPr>
                      <w:color w:val="000000"/>
                      <w:sz w:val="18"/>
                      <w:szCs w:val="18"/>
                    </w:rPr>
                  </w:pPr>
                  <w:r w:rsidRPr="003F5C58">
                    <w:rPr>
                      <w:color w:val="000000"/>
                      <w:sz w:val="18"/>
                      <w:szCs w:val="18"/>
                    </w:rPr>
                    <w:t>Child D</w:t>
                  </w:r>
                </w:p>
              </w:tc>
              <w:tc>
                <w:tcPr>
                  <w:tcW w:w="111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4BB1AE3F" w14:textId="7E0A2E70" w:rsidR="003F5C58" w:rsidRPr="003F5C58" w:rsidRDefault="003F5C58" w:rsidP="003F5C58">
                  <w:pPr>
                    <w:rPr>
                      <w:color w:val="000000"/>
                      <w:sz w:val="18"/>
                      <w:szCs w:val="18"/>
                    </w:rPr>
                  </w:pPr>
                  <w:r w:rsidRPr="003F5C58">
                    <w:rPr>
                      <w:color w:val="000000"/>
                      <w:sz w:val="18"/>
                      <w:szCs w:val="18"/>
                    </w:rPr>
                    <w:t>44.5</w:t>
                  </w:r>
                </w:p>
              </w:tc>
              <w:tc>
                <w:tcPr>
                  <w:tcW w:w="124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7A768EE2" w14:textId="2CA1E2C8" w:rsidR="003F5C58" w:rsidRPr="003F5C58" w:rsidRDefault="003F5C58" w:rsidP="003F5C58">
                  <w:pPr>
                    <w:rPr>
                      <w:color w:val="000000"/>
                      <w:sz w:val="18"/>
                      <w:szCs w:val="18"/>
                    </w:rPr>
                  </w:pPr>
                  <w:r w:rsidRPr="003F5C58">
                    <w:rPr>
                      <w:color w:val="000000"/>
                      <w:sz w:val="18"/>
                      <w:szCs w:val="18"/>
                    </w:rPr>
                    <w:t>69</w:t>
                  </w:r>
                </w:p>
              </w:tc>
              <w:tc>
                <w:tcPr>
                  <w:tcW w:w="263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315478CD" w14:textId="2428722C" w:rsidR="003F5C58" w:rsidRPr="003F5C58" w:rsidRDefault="003F5C58" w:rsidP="003F5C58">
                  <w:pPr>
                    <w:rPr>
                      <w:color w:val="000000"/>
                      <w:sz w:val="18"/>
                      <w:szCs w:val="18"/>
                    </w:rPr>
                  </w:pPr>
                  <w:r w:rsidRPr="003F5C58">
                    <w:rPr>
                      <w:color w:val="000000"/>
                      <w:sz w:val="18"/>
                      <w:szCs w:val="18"/>
                    </w:rPr>
                    <w:t>+25.5</w:t>
                  </w:r>
                </w:p>
              </w:tc>
            </w:tr>
            <w:tr w:rsidR="003F5C58" w:rsidRPr="003F5C58" w14:paraId="2FADD863" w14:textId="77777777" w:rsidTr="003F5C58">
              <w:trPr>
                <w:trHeight w:val="255"/>
              </w:trPr>
              <w:tc>
                <w:tcPr>
                  <w:tcW w:w="141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0FB7256E" w14:textId="49617FE1" w:rsidR="003F5C58" w:rsidRPr="003F5C58" w:rsidRDefault="003F5C58" w:rsidP="003F5C58">
                  <w:pPr>
                    <w:rPr>
                      <w:color w:val="000000"/>
                      <w:sz w:val="18"/>
                      <w:szCs w:val="18"/>
                    </w:rPr>
                  </w:pPr>
                  <w:r w:rsidRPr="003F5C58">
                    <w:rPr>
                      <w:color w:val="000000"/>
                      <w:sz w:val="18"/>
                      <w:szCs w:val="18"/>
                    </w:rPr>
                    <w:t>Child E</w:t>
                  </w:r>
                </w:p>
              </w:tc>
              <w:tc>
                <w:tcPr>
                  <w:tcW w:w="111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72D16EB8" w14:textId="1E9565DE" w:rsidR="003F5C58" w:rsidRPr="003F5C58" w:rsidRDefault="003F5C58" w:rsidP="003F5C58">
                  <w:pPr>
                    <w:rPr>
                      <w:color w:val="000000"/>
                      <w:sz w:val="18"/>
                      <w:szCs w:val="18"/>
                    </w:rPr>
                  </w:pPr>
                  <w:r w:rsidRPr="003F5C58">
                    <w:rPr>
                      <w:color w:val="000000"/>
                      <w:sz w:val="18"/>
                      <w:szCs w:val="18"/>
                    </w:rPr>
                    <w:t>52</w:t>
                  </w:r>
                </w:p>
              </w:tc>
              <w:tc>
                <w:tcPr>
                  <w:tcW w:w="124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67916EF8" w14:textId="7772024B" w:rsidR="003F5C58" w:rsidRPr="003F5C58" w:rsidRDefault="003F5C58" w:rsidP="003F5C58">
                  <w:pPr>
                    <w:rPr>
                      <w:color w:val="000000"/>
                      <w:sz w:val="18"/>
                      <w:szCs w:val="18"/>
                    </w:rPr>
                  </w:pPr>
                  <w:r w:rsidRPr="003F5C58">
                    <w:rPr>
                      <w:color w:val="000000"/>
                      <w:sz w:val="18"/>
                      <w:szCs w:val="18"/>
                    </w:rPr>
                    <w:t>69</w:t>
                  </w:r>
                </w:p>
              </w:tc>
              <w:tc>
                <w:tcPr>
                  <w:tcW w:w="263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515B1E7F" w14:textId="102E21C6" w:rsidR="003F5C58" w:rsidRPr="003F5C58" w:rsidRDefault="003F5C58" w:rsidP="003F5C58">
                  <w:pPr>
                    <w:rPr>
                      <w:color w:val="000000"/>
                      <w:sz w:val="18"/>
                      <w:szCs w:val="18"/>
                    </w:rPr>
                  </w:pPr>
                  <w:r w:rsidRPr="003F5C58">
                    <w:rPr>
                      <w:color w:val="000000"/>
                      <w:sz w:val="18"/>
                      <w:szCs w:val="18"/>
                    </w:rPr>
                    <w:t>+17</w:t>
                  </w:r>
                </w:p>
              </w:tc>
            </w:tr>
            <w:tr w:rsidR="003F5C58" w:rsidRPr="003F5C58" w14:paraId="5C2F7B60" w14:textId="77777777" w:rsidTr="003F5C58">
              <w:trPr>
                <w:trHeight w:val="315"/>
              </w:trPr>
              <w:tc>
                <w:tcPr>
                  <w:tcW w:w="141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3B53172C" w14:textId="08FF9151" w:rsidR="003F5C58" w:rsidRPr="003F5C58" w:rsidRDefault="003F5C58" w:rsidP="003F5C58">
                  <w:pPr>
                    <w:rPr>
                      <w:color w:val="000000"/>
                      <w:sz w:val="18"/>
                      <w:szCs w:val="18"/>
                    </w:rPr>
                  </w:pPr>
                  <w:r w:rsidRPr="003F5C58">
                    <w:rPr>
                      <w:color w:val="000000"/>
                      <w:sz w:val="18"/>
                      <w:szCs w:val="18"/>
                    </w:rPr>
                    <w:t>Child F</w:t>
                  </w:r>
                </w:p>
              </w:tc>
              <w:tc>
                <w:tcPr>
                  <w:tcW w:w="111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66240FE3" w14:textId="238C2656" w:rsidR="003F5C58" w:rsidRPr="003F5C58" w:rsidRDefault="003F5C58" w:rsidP="003F5C58">
                  <w:pPr>
                    <w:rPr>
                      <w:color w:val="000000"/>
                      <w:sz w:val="18"/>
                      <w:szCs w:val="18"/>
                    </w:rPr>
                  </w:pPr>
                  <w:r w:rsidRPr="003F5C58">
                    <w:rPr>
                      <w:color w:val="000000"/>
                      <w:sz w:val="18"/>
                      <w:szCs w:val="18"/>
                    </w:rPr>
                    <w:t>25</w:t>
                  </w:r>
                </w:p>
              </w:tc>
              <w:tc>
                <w:tcPr>
                  <w:tcW w:w="124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108265B0" w14:textId="7EAC8C06" w:rsidR="003F5C58" w:rsidRPr="003F5C58" w:rsidRDefault="003F5C58" w:rsidP="003F5C58">
                  <w:pPr>
                    <w:rPr>
                      <w:color w:val="000000"/>
                      <w:sz w:val="18"/>
                      <w:szCs w:val="18"/>
                    </w:rPr>
                  </w:pPr>
                  <w:r w:rsidRPr="003F5C58">
                    <w:rPr>
                      <w:color w:val="000000"/>
                      <w:sz w:val="18"/>
                      <w:szCs w:val="18"/>
                    </w:rPr>
                    <w:t>55</w:t>
                  </w:r>
                </w:p>
              </w:tc>
              <w:tc>
                <w:tcPr>
                  <w:tcW w:w="263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7583CBD4" w14:textId="0FA7D7BA" w:rsidR="003F5C58" w:rsidRPr="003F5C58" w:rsidRDefault="003F5C58" w:rsidP="003F5C58">
                  <w:pPr>
                    <w:rPr>
                      <w:color w:val="000000"/>
                      <w:sz w:val="18"/>
                      <w:szCs w:val="18"/>
                    </w:rPr>
                  </w:pPr>
                  <w:r w:rsidRPr="003F5C58">
                    <w:rPr>
                      <w:color w:val="000000"/>
                      <w:sz w:val="18"/>
                      <w:szCs w:val="18"/>
                    </w:rPr>
                    <w:t>+30</w:t>
                  </w:r>
                </w:p>
              </w:tc>
            </w:tr>
            <w:tr w:rsidR="003F5C58" w:rsidRPr="003F5C58" w14:paraId="25D22266" w14:textId="77777777" w:rsidTr="003F5C58">
              <w:trPr>
                <w:trHeight w:val="283"/>
              </w:trPr>
              <w:tc>
                <w:tcPr>
                  <w:tcW w:w="141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249CF95A" w14:textId="5955E0C6" w:rsidR="003F5C58" w:rsidRPr="003F5C58" w:rsidRDefault="003F5C58" w:rsidP="003F5C58">
                  <w:pPr>
                    <w:rPr>
                      <w:color w:val="000000"/>
                      <w:sz w:val="18"/>
                      <w:szCs w:val="18"/>
                    </w:rPr>
                  </w:pPr>
                  <w:r w:rsidRPr="003F5C58">
                    <w:rPr>
                      <w:color w:val="000000"/>
                      <w:sz w:val="18"/>
                      <w:szCs w:val="18"/>
                    </w:rPr>
                    <w:t>Child G</w:t>
                  </w:r>
                </w:p>
              </w:tc>
              <w:tc>
                <w:tcPr>
                  <w:tcW w:w="111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45A802A8" w14:textId="777F6980" w:rsidR="003F5C58" w:rsidRPr="003F5C58" w:rsidRDefault="003F5C58" w:rsidP="003F5C58">
                  <w:pPr>
                    <w:rPr>
                      <w:color w:val="000000"/>
                      <w:sz w:val="18"/>
                      <w:szCs w:val="18"/>
                    </w:rPr>
                  </w:pPr>
                  <w:r w:rsidRPr="003F5C58">
                    <w:rPr>
                      <w:color w:val="000000"/>
                      <w:sz w:val="18"/>
                      <w:szCs w:val="18"/>
                    </w:rPr>
                    <w:t>50.5</w:t>
                  </w:r>
                </w:p>
              </w:tc>
              <w:tc>
                <w:tcPr>
                  <w:tcW w:w="124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597AD314" w14:textId="753594F4" w:rsidR="003F5C58" w:rsidRPr="003F5C58" w:rsidRDefault="003F5C58" w:rsidP="003F5C58">
                  <w:pPr>
                    <w:rPr>
                      <w:color w:val="000000"/>
                      <w:sz w:val="18"/>
                      <w:szCs w:val="18"/>
                    </w:rPr>
                  </w:pPr>
                  <w:r w:rsidRPr="003F5C58">
                    <w:rPr>
                      <w:color w:val="000000"/>
                      <w:sz w:val="18"/>
                      <w:szCs w:val="18"/>
                    </w:rPr>
                    <w:t>68</w:t>
                  </w:r>
                </w:p>
              </w:tc>
              <w:tc>
                <w:tcPr>
                  <w:tcW w:w="263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tcPr>
                <w:p w14:paraId="58007D42" w14:textId="1F890318" w:rsidR="003F5C58" w:rsidRPr="003F5C58" w:rsidRDefault="003F5C58" w:rsidP="003F5C58">
                  <w:pPr>
                    <w:rPr>
                      <w:color w:val="000000"/>
                      <w:sz w:val="18"/>
                      <w:szCs w:val="18"/>
                    </w:rPr>
                  </w:pPr>
                  <w:r w:rsidRPr="003F5C58">
                    <w:rPr>
                      <w:color w:val="000000"/>
                      <w:sz w:val="18"/>
                      <w:szCs w:val="18"/>
                    </w:rPr>
                    <w:t>+18.5</w:t>
                  </w:r>
                </w:p>
              </w:tc>
            </w:tr>
          </w:tbl>
          <w:p w14:paraId="2D27C6E5" w14:textId="77777777" w:rsidR="003F5C58" w:rsidRPr="004B579E" w:rsidRDefault="003F5C58" w:rsidP="009B7433">
            <w:pPr>
              <w:rPr>
                <w:color w:val="000000"/>
              </w:rPr>
            </w:pPr>
          </w:p>
          <w:p w14:paraId="19515654" w14:textId="37E98439" w:rsidR="004B579E" w:rsidRDefault="004B579E" w:rsidP="009B7433">
            <w:pPr>
              <w:rPr>
                <w:b/>
                <w:bCs/>
                <w:color w:val="000000"/>
                <w:u w:val="single"/>
              </w:rPr>
            </w:pPr>
            <w:r>
              <w:rPr>
                <w:b/>
                <w:bCs/>
                <w:color w:val="000000"/>
                <w:u w:val="single"/>
              </w:rPr>
              <w:t>Wider Strategies</w:t>
            </w:r>
          </w:p>
          <w:p w14:paraId="2FDC1AAE" w14:textId="78C7854A" w:rsidR="00D20459" w:rsidRPr="004B579E" w:rsidRDefault="00D20459" w:rsidP="009B7433">
            <w:pPr>
              <w:rPr>
                <w:color w:val="000000"/>
                <w:u w:val="single"/>
              </w:rPr>
            </w:pPr>
            <w:r w:rsidRPr="004B579E">
              <w:rPr>
                <w:color w:val="000000"/>
                <w:u w:val="single"/>
              </w:rPr>
              <w:t>Uniform</w:t>
            </w:r>
          </w:p>
          <w:p w14:paraId="244E7668" w14:textId="33DBB674" w:rsidR="00D20459" w:rsidRDefault="00D20459" w:rsidP="009B7433">
            <w:pPr>
              <w:rPr>
                <w:color w:val="000000"/>
              </w:rPr>
            </w:pPr>
            <w:r>
              <w:rPr>
                <w:color w:val="000000"/>
              </w:rPr>
              <w:t xml:space="preserve">All children in receipt of PPG funding received a uniform starter pack which included a pair of trousers, PE T shirt and logo school jumper. </w:t>
            </w:r>
            <w:r w:rsidR="00CD1C8D">
              <w:rPr>
                <w:color w:val="000000"/>
              </w:rPr>
              <w:t xml:space="preserve">This removed the barrier of uniform from parents for attendance. </w:t>
            </w:r>
          </w:p>
          <w:p w14:paraId="21E2EA05" w14:textId="7137A791" w:rsidR="00D20459" w:rsidRPr="004B579E" w:rsidRDefault="00D20459" w:rsidP="009B7433">
            <w:pPr>
              <w:rPr>
                <w:color w:val="000000"/>
                <w:u w:val="single"/>
              </w:rPr>
            </w:pPr>
            <w:r w:rsidRPr="004B579E">
              <w:rPr>
                <w:color w:val="000000"/>
                <w:u w:val="single"/>
              </w:rPr>
              <w:t>Nurture group and ELSA support</w:t>
            </w:r>
            <w:r w:rsidR="005E6744">
              <w:rPr>
                <w:color w:val="000000"/>
                <w:u w:val="single"/>
              </w:rPr>
              <w:t xml:space="preserve"> and Sunshine group</w:t>
            </w:r>
          </w:p>
          <w:p w14:paraId="30D5AC63" w14:textId="53398CB6" w:rsidR="005E6744" w:rsidRPr="005E6744" w:rsidRDefault="005E6744" w:rsidP="009B7433">
            <w:pPr>
              <w:rPr>
                <w:color w:val="auto"/>
              </w:rPr>
            </w:pPr>
            <w:r>
              <w:rPr>
                <w:color w:val="auto"/>
              </w:rPr>
              <w:t xml:space="preserve">Children in reception that were dysregulated and had difficulties coming into school in the mornings were offered access to our ‘Sunshine Group’ to help them settle. Half of the children that were targeted were in receipt of the Pupil Premium Grant. Due to this provision, 100% of these children were able </w:t>
            </w:r>
            <w:r w:rsidR="00CB0946">
              <w:rPr>
                <w:color w:val="auto"/>
              </w:rPr>
              <w:t>regulate and enter their classrooms like their peers by the start of Autumn 2.</w:t>
            </w:r>
            <w:r>
              <w:rPr>
                <w:color w:val="auto"/>
              </w:rPr>
              <w:t xml:space="preserve"> </w:t>
            </w:r>
          </w:p>
          <w:p w14:paraId="0E962B51" w14:textId="2153AA32" w:rsidR="00D20459" w:rsidRDefault="00F76202" w:rsidP="009B7433">
            <w:pPr>
              <w:rPr>
                <w:color w:val="auto"/>
              </w:rPr>
            </w:pPr>
            <w:r>
              <w:rPr>
                <w:color w:val="auto"/>
              </w:rPr>
              <w:t>12 children that were eligible for the Pupil Premium Grant attended our Nurture group within school. This was provided by specially trained adults</w:t>
            </w:r>
            <w:r w:rsidR="00EC5272">
              <w:rPr>
                <w:color w:val="auto"/>
              </w:rPr>
              <w:t>. This intervention had a very positive impact on the children that attended. The children received help with their anxiety, they were able to talk about the</w:t>
            </w:r>
            <w:r w:rsidR="00E81589">
              <w:rPr>
                <w:color w:val="auto"/>
              </w:rPr>
              <w:t>ir</w:t>
            </w:r>
            <w:r w:rsidR="00EC5272">
              <w:rPr>
                <w:color w:val="auto"/>
              </w:rPr>
              <w:t xml:space="preserve"> emotions</w:t>
            </w:r>
            <w:r w:rsidR="00E81589">
              <w:rPr>
                <w:color w:val="auto"/>
              </w:rPr>
              <w:t>, learnt social skills and turn taking. They also felt part of a community and learnt how to work collaboratively with</w:t>
            </w:r>
            <w:r w:rsidR="007555B9">
              <w:rPr>
                <w:color w:val="auto"/>
              </w:rPr>
              <w:t xml:space="preserve"> their</w:t>
            </w:r>
            <w:r w:rsidR="00E81589">
              <w:rPr>
                <w:color w:val="auto"/>
              </w:rPr>
              <w:t xml:space="preserve"> peers. Children finished the year with the confidence to share their feelings and experiences with appropriate adults</w:t>
            </w:r>
            <w:r w:rsidR="00CD7658">
              <w:rPr>
                <w:color w:val="auto"/>
              </w:rPr>
              <w:t xml:space="preserve"> and with improved attention and listening skills that helped with their</w:t>
            </w:r>
            <w:r w:rsidR="007555B9">
              <w:rPr>
                <w:color w:val="auto"/>
              </w:rPr>
              <w:t xml:space="preserve"> concentration in the classroom.</w:t>
            </w:r>
          </w:p>
          <w:p w14:paraId="15C38BC2" w14:textId="771021B7" w:rsidR="005D13FF" w:rsidRPr="00F76202" w:rsidRDefault="007555B9" w:rsidP="009B7433">
            <w:pPr>
              <w:rPr>
                <w:color w:val="auto"/>
              </w:rPr>
            </w:pPr>
            <w:r>
              <w:rPr>
                <w:color w:val="auto"/>
              </w:rPr>
              <w:t xml:space="preserve">ELSA sessions were very effective in supporting our children with their wellbeing. Over half of the children supported (5 out of 9), were eligible for the Pupil Premium Grant. They were effectively taught strategies to support with their self-regulation and were generally calmer and felt more relaxed in school. Parents commented on the success of the intervention as they could see the positive impact on their children’s mental health and wellbeing. </w:t>
            </w:r>
          </w:p>
          <w:p w14:paraId="0642A139" w14:textId="77777777" w:rsidR="00EE6C7E" w:rsidRDefault="00EE6C7E" w:rsidP="009B7433">
            <w:pPr>
              <w:rPr>
                <w:color w:val="000000"/>
                <w:u w:val="single"/>
              </w:rPr>
            </w:pPr>
          </w:p>
          <w:p w14:paraId="0A802682" w14:textId="209B70C9" w:rsidR="00D20459" w:rsidRPr="004B579E" w:rsidRDefault="00D20459" w:rsidP="009B7433">
            <w:pPr>
              <w:rPr>
                <w:color w:val="000000"/>
                <w:u w:val="single"/>
              </w:rPr>
            </w:pPr>
            <w:r w:rsidRPr="004B579E">
              <w:rPr>
                <w:color w:val="000000"/>
                <w:u w:val="single"/>
              </w:rPr>
              <w:lastRenderedPageBreak/>
              <w:t>Trips, clubs and events</w:t>
            </w:r>
          </w:p>
          <w:p w14:paraId="2CE97EF0" w14:textId="77777777" w:rsidR="00CD1C8D" w:rsidRDefault="0045709C" w:rsidP="009B7433">
            <w:pPr>
              <w:rPr>
                <w:color w:val="000000"/>
              </w:rPr>
            </w:pPr>
            <w:r>
              <w:rPr>
                <w:color w:val="000000"/>
              </w:rPr>
              <w:t xml:space="preserve">Trips that have been made available to children: </w:t>
            </w:r>
          </w:p>
          <w:p w14:paraId="7464C373" w14:textId="14B7924F" w:rsidR="00D20459" w:rsidRDefault="00CD1C8D" w:rsidP="009B7433">
            <w:pPr>
              <w:rPr>
                <w:color w:val="000000"/>
              </w:rPr>
            </w:pPr>
            <w:r>
              <w:rPr>
                <w:color w:val="000000"/>
              </w:rPr>
              <w:t>Year 1 children all went on three trips which included ‘Christmas unwrapped’ to support the teaching of the Christmas story, 'Waterstones’ which involved a walk through the local area to select a book to celebrate ‘World Book Day’ and ‘The Arc Centre’ where children travelled by public transport to experience bespoke animal education. This trip provided valuable links to the children’s science learning about habitats for that half term.</w:t>
            </w:r>
          </w:p>
          <w:p w14:paraId="6174A15C" w14:textId="14824465" w:rsidR="00CD1C8D" w:rsidRDefault="00CD1C8D" w:rsidP="009B7433">
            <w:pPr>
              <w:rPr>
                <w:color w:val="000000"/>
              </w:rPr>
            </w:pPr>
            <w:r>
              <w:rPr>
                <w:color w:val="000000"/>
              </w:rPr>
              <w:t>Year 2 children all went on three trips which included</w:t>
            </w:r>
            <w:r w:rsidR="00C55D61">
              <w:rPr>
                <w:color w:val="000000"/>
              </w:rPr>
              <w:t>;</w:t>
            </w:r>
            <w:r>
              <w:rPr>
                <w:color w:val="000000"/>
              </w:rPr>
              <w:t xml:space="preserve"> ‘Windmill Park’ to gain real life experiences of the </w:t>
            </w:r>
            <w:r w:rsidR="00C55D61">
              <w:rPr>
                <w:color w:val="000000"/>
              </w:rPr>
              <w:t>local area to support their persuasive letter writing to the council, ‘Waterstones’ to make informed book choices to celebrate ‘World Book Day’ and ‘Bowling’ which was to celebrate the completion of the children’s time at Elmwood Infants.</w:t>
            </w:r>
          </w:p>
          <w:p w14:paraId="64868751" w14:textId="7D35CF69" w:rsidR="004B579E" w:rsidRDefault="004B579E" w:rsidP="009B7433">
            <w:pPr>
              <w:rPr>
                <w:color w:val="auto"/>
              </w:rPr>
            </w:pPr>
            <w:r>
              <w:rPr>
                <w:color w:val="000000"/>
              </w:rPr>
              <w:t>Clubs offered to children at Elmwood Infants include; cooking, choir</w:t>
            </w:r>
            <w:r w:rsidR="00807A81">
              <w:rPr>
                <w:color w:val="000000"/>
              </w:rPr>
              <w:t xml:space="preserve"> and</w:t>
            </w:r>
            <w:r>
              <w:rPr>
                <w:color w:val="000000"/>
              </w:rPr>
              <w:t xml:space="preserve"> recorders</w:t>
            </w:r>
            <w:r w:rsidR="00807A81">
              <w:rPr>
                <w:color w:val="000000"/>
              </w:rPr>
              <w:t>.</w:t>
            </w:r>
            <w:r>
              <w:rPr>
                <w:color w:val="FF0000"/>
              </w:rPr>
              <w:t xml:space="preserve"> </w:t>
            </w:r>
            <w:r w:rsidRPr="004B579E">
              <w:rPr>
                <w:color w:val="auto"/>
              </w:rPr>
              <w:t>All</w:t>
            </w:r>
            <w:r>
              <w:rPr>
                <w:color w:val="auto"/>
              </w:rPr>
              <w:t xml:space="preserve"> children eligible for the Pupil Premium Grant were offered spaces at all clubs free of charge.</w:t>
            </w:r>
          </w:p>
          <w:tbl>
            <w:tblPr>
              <w:tblStyle w:val="TableGrid"/>
              <w:tblW w:w="0" w:type="auto"/>
              <w:tblLook w:val="04A0" w:firstRow="1" w:lastRow="0" w:firstColumn="1" w:lastColumn="0" w:noHBand="0" w:noVBand="1"/>
            </w:tblPr>
            <w:tblGrid>
              <w:gridCol w:w="2316"/>
              <w:gridCol w:w="2317"/>
              <w:gridCol w:w="2317"/>
              <w:gridCol w:w="2317"/>
            </w:tblGrid>
            <w:tr w:rsidR="005E6744" w14:paraId="28076419" w14:textId="77777777" w:rsidTr="005E6744">
              <w:tc>
                <w:tcPr>
                  <w:tcW w:w="2316" w:type="dxa"/>
                </w:tcPr>
                <w:p w14:paraId="58996572" w14:textId="5FEA4D01" w:rsidR="005E6744" w:rsidRDefault="005E6744" w:rsidP="009B7433">
                  <w:pPr>
                    <w:rPr>
                      <w:color w:val="000000"/>
                    </w:rPr>
                  </w:pPr>
                  <w:r>
                    <w:rPr>
                      <w:color w:val="000000"/>
                    </w:rPr>
                    <w:t>Club</w:t>
                  </w:r>
                </w:p>
              </w:tc>
              <w:tc>
                <w:tcPr>
                  <w:tcW w:w="2317" w:type="dxa"/>
                </w:tcPr>
                <w:p w14:paraId="0FD5ABCC" w14:textId="7B81F3BB" w:rsidR="005E6744" w:rsidRDefault="005E6744" w:rsidP="009B7433">
                  <w:pPr>
                    <w:rPr>
                      <w:color w:val="000000"/>
                    </w:rPr>
                  </w:pPr>
                  <w:r>
                    <w:rPr>
                      <w:color w:val="000000"/>
                    </w:rPr>
                    <w:t>Cooking</w:t>
                  </w:r>
                </w:p>
              </w:tc>
              <w:tc>
                <w:tcPr>
                  <w:tcW w:w="2317" w:type="dxa"/>
                </w:tcPr>
                <w:p w14:paraId="132C5B5F" w14:textId="274312E7" w:rsidR="005E6744" w:rsidRDefault="005E6744" w:rsidP="009B7433">
                  <w:pPr>
                    <w:rPr>
                      <w:color w:val="000000"/>
                    </w:rPr>
                  </w:pPr>
                  <w:r>
                    <w:rPr>
                      <w:color w:val="000000"/>
                    </w:rPr>
                    <w:t>Recorders</w:t>
                  </w:r>
                </w:p>
              </w:tc>
              <w:tc>
                <w:tcPr>
                  <w:tcW w:w="2317" w:type="dxa"/>
                </w:tcPr>
                <w:p w14:paraId="27BA1013" w14:textId="64E65E27" w:rsidR="005E6744" w:rsidRDefault="005E6744" w:rsidP="009B7433">
                  <w:pPr>
                    <w:rPr>
                      <w:color w:val="000000"/>
                    </w:rPr>
                  </w:pPr>
                  <w:r>
                    <w:rPr>
                      <w:color w:val="000000"/>
                    </w:rPr>
                    <w:t>Choir</w:t>
                  </w:r>
                </w:p>
              </w:tc>
            </w:tr>
            <w:tr w:rsidR="005E6744" w14:paraId="6016A22B" w14:textId="77777777" w:rsidTr="005E6744">
              <w:tc>
                <w:tcPr>
                  <w:tcW w:w="2316" w:type="dxa"/>
                </w:tcPr>
                <w:p w14:paraId="3E97D997" w14:textId="17E20E64" w:rsidR="005E6744" w:rsidRDefault="005E6744" w:rsidP="009B7433">
                  <w:pPr>
                    <w:rPr>
                      <w:color w:val="000000"/>
                    </w:rPr>
                  </w:pPr>
                  <w:r>
                    <w:rPr>
                      <w:color w:val="000000"/>
                    </w:rPr>
                    <w:t>Children eligible for PPG</w:t>
                  </w:r>
                  <w:r w:rsidR="00E86668">
                    <w:rPr>
                      <w:color w:val="000000"/>
                    </w:rPr>
                    <w:t xml:space="preserve"> that attended</w:t>
                  </w:r>
                </w:p>
              </w:tc>
              <w:tc>
                <w:tcPr>
                  <w:tcW w:w="2317" w:type="dxa"/>
                </w:tcPr>
                <w:p w14:paraId="62834CC5" w14:textId="168A02E6" w:rsidR="005E6744" w:rsidRDefault="00E86668" w:rsidP="009B7433">
                  <w:pPr>
                    <w:rPr>
                      <w:color w:val="000000"/>
                    </w:rPr>
                  </w:pPr>
                  <w:r>
                    <w:rPr>
                      <w:color w:val="000000"/>
                    </w:rPr>
                    <w:t>28</w:t>
                  </w:r>
                </w:p>
              </w:tc>
              <w:tc>
                <w:tcPr>
                  <w:tcW w:w="2317" w:type="dxa"/>
                </w:tcPr>
                <w:p w14:paraId="62251661" w14:textId="62D9B68C" w:rsidR="005E6744" w:rsidRDefault="005E6744" w:rsidP="009B7433">
                  <w:pPr>
                    <w:rPr>
                      <w:color w:val="000000"/>
                    </w:rPr>
                  </w:pPr>
                  <w:r>
                    <w:rPr>
                      <w:color w:val="000000"/>
                    </w:rPr>
                    <w:t>5</w:t>
                  </w:r>
                </w:p>
              </w:tc>
              <w:tc>
                <w:tcPr>
                  <w:tcW w:w="2317" w:type="dxa"/>
                </w:tcPr>
                <w:p w14:paraId="43D867E5" w14:textId="293B4BDA" w:rsidR="005E6744" w:rsidRDefault="005E6744" w:rsidP="009B7433">
                  <w:pPr>
                    <w:rPr>
                      <w:color w:val="000000"/>
                    </w:rPr>
                  </w:pPr>
                  <w:r>
                    <w:rPr>
                      <w:color w:val="000000"/>
                    </w:rPr>
                    <w:t>17</w:t>
                  </w:r>
                </w:p>
              </w:tc>
            </w:tr>
          </w:tbl>
          <w:p w14:paraId="3560B6AA" w14:textId="77777777" w:rsidR="005E6744" w:rsidRDefault="005E6744" w:rsidP="009B7433">
            <w:pPr>
              <w:rPr>
                <w:color w:val="000000"/>
              </w:rPr>
            </w:pPr>
          </w:p>
          <w:p w14:paraId="32832148" w14:textId="222F0F20" w:rsidR="00D20459" w:rsidRPr="004B579E" w:rsidRDefault="00D20459" w:rsidP="009B7433">
            <w:pPr>
              <w:rPr>
                <w:color w:val="000000"/>
                <w:u w:val="single"/>
              </w:rPr>
            </w:pPr>
            <w:r w:rsidRPr="004B579E">
              <w:rPr>
                <w:color w:val="000000"/>
                <w:u w:val="single"/>
              </w:rPr>
              <w:t>Attendance and welfare support</w:t>
            </w:r>
          </w:p>
          <w:p w14:paraId="026400B7" w14:textId="751F6FE2" w:rsidR="00D20459" w:rsidRPr="00BA1302" w:rsidRDefault="00BA1302" w:rsidP="009B7433">
            <w:pPr>
              <w:rPr>
                <w:color w:val="auto"/>
              </w:rPr>
            </w:pPr>
            <w:r w:rsidRPr="00BA1302">
              <w:rPr>
                <w:color w:val="auto"/>
              </w:rPr>
              <w:t>The school’s overall attendance for 2024-25 was 92.6% which is slightly below the national of 94.8%</w:t>
            </w:r>
          </w:p>
          <w:p w14:paraId="103F0230" w14:textId="6A94DC03" w:rsidR="0045709C" w:rsidRPr="00BA1302" w:rsidRDefault="0045709C" w:rsidP="009B7433">
            <w:pPr>
              <w:rPr>
                <w:color w:val="auto"/>
              </w:rPr>
            </w:pPr>
            <w:r w:rsidRPr="00BA1302">
              <w:rPr>
                <w:color w:val="auto"/>
              </w:rPr>
              <w:t xml:space="preserve">Gap between PPG and </w:t>
            </w:r>
            <w:r w:rsidR="00BA1302" w:rsidRPr="00BA1302">
              <w:rPr>
                <w:color w:val="auto"/>
              </w:rPr>
              <w:t>non-PPG</w:t>
            </w:r>
            <w:r w:rsidRPr="00BA1302">
              <w:rPr>
                <w:color w:val="auto"/>
              </w:rPr>
              <w:t>: 2%</w:t>
            </w:r>
          </w:p>
          <w:p w14:paraId="68D43F11" w14:textId="5CA166E6" w:rsidR="00C137CE" w:rsidRPr="00BA1302" w:rsidRDefault="00C137CE" w:rsidP="009B7433">
            <w:pPr>
              <w:rPr>
                <w:color w:val="auto"/>
              </w:rPr>
            </w:pPr>
            <w:r w:rsidRPr="00BA1302">
              <w:rPr>
                <w:color w:val="auto"/>
              </w:rPr>
              <w:t xml:space="preserve">Out of the 13 families that were identified for support by the EWO 8 were disadvantaged. The attendance officer and EWO met with and spoke to the families regularly to establish barriers to bring children into school and to identify ways to overcome them. One </w:t>
            </w:r>
            <w:r w:rsidR="007C6743" w:rsidRPr="00BA1302">
              <w:rPr>
                <w:color w:val="auto"/>
              </w:rPr>
              <w:t>child in particular, had attendance of below 80% at the end of the autumn term and w</w:t>
            </w:r>
            <w:r w:rsidR="00B82F84">
              <w:rPr>
                <w:color w:val="auto"/>
              </w:rPr>
              <w:t>ere</w:t>
            </w:r>
            <w:r w:rsidR="007C6743" w:rsidRPr="00BA1302">
              <w:rPr>
                <w:color w:val="auto"/>
              </w:rPr>
              <w:t xml:space="preserve"> </w:t>
            </w:r>
            <w:r w:rsidR="00BA1302" w:rsidRPr="00BA1302">
              <w:rPr>
                <w:color w:val="auto"/>
              </w:rPr>
              <w:t>regularly</w:t>
            </w:r>
            <w:r w:rsidR="007C6743" w:rsidRPr="00BA1302">
              <w:rPr>
                <w:color w:val="auto"/>
              </w:rPr>
              <w:t xml:space="preserve"> late.</w:t>
            </w:r>
            <w:r w:rsidR="00BA1302" w:rsidRPr="00BA1302">
              <w:rPr>
                <w:color w:val="auto"/>
              </w:rPr>
              <w:t xml:space="preserve"> By the end of the year the child’s attendance had increased to 85% and their current attendance is sitting at just below 90%</w:t>
            </w:r>
            <w:r w:rsidR="00B82F84">
              <w:rPr>
                <w:color w:val="auto"/>
              </w:rPr>
              <w:t xml:space="preserve"> (Autumn 2025).</w:t>
            </w:r>
          </w:p>
          <w:p w14:paraId="0186A8B2" w14:textId="77777777" w:rsidR="00EE6C7E" w:rsidRDefault="00EE6C7E" w:rsidP="009B7433">
            <w:pPr>
              <w:rPr>
                <w:color w:val="000000"/>
                <w:u w:val="single"/>
              </w:rPr>
            </w:pPr>
          </w:p>
          <w:p w14:paraId="430C19A7" w14:textId="77777777" w:rsidR="00EE6C7E" w:rsidRDefault="00EE6C7E" w:rsidP="009B7433">
            <w:pPr>
              <w:rPr>
                <w:color w:val="000000"/>
                <w:u w:val="single"/>
              </w:rPr>
            </w:pPr>
          </w:p>
          <w:p w14:paraId="23137DF9" w14:textId="2602588E" w:rsidR="00D20459" w:rsidRDefault="00D20459" w:rsidP="009B7433">
            <w:pPr>
              <w:rPr>
                <w:color w:val="000000"/>
                <w:u w:val="single"/>
              </w:rPr>
            </w:pPr>
            <w:r w:rsidRPr="004B579E">
              <w:rPr>
                <w:color w:val="000000"/>
                <w:u w:val="single"/>
              </w:rPr>
              <w:lastRenderedPageBreak/>
              <w:t>Food bank</w:t>
            </w:r>
          </w:p>
          <w:p w14:paraId="04F4660D" w14:textId="26D837BD" w:rsidR="00305BB6" w:rsidRPr="004B579E" w:rsidRDefault="00305BB6" w:rsidP="009B7433">
            <w:pPr>
              <w:rPr>
                <w:color w:val="000000"/>
                <w:u w:val="single"/>
              </w:rPr>
            </w:pPr>
            <w:r w:rsidRPr="00305BB6">
              <w:rPr>
                <w:rFonts w:cs="Arial"/>
                <w:color w:val="auto"/>
                <w:shd w:val="clear" w:color="auto" w:fill="FFFFFF"/>
              </w:rPr>
              <w:t xml:space="preserve">At Elmwood Infants, we have provided a food </w:t>
            </w:r>
            <w:r w:rsidR="00BA1302" w:rsidRPr="00305BB6">
              <w:rPr>
                <w:rFonts w:cs="Arial"/>
                <w:color w:val="auto"/>
                <w:shd w:val="clear" w:color="auto" w:fill="FFFFFF"/>
              </w:rPr>
              <w:t>market every</w:t>
            </w:r>
            <w:r w:rsidRPr="00305BB6">
              <w:rPr>
                <w:rFonts w:cs="Arial"/>
                <w:color w:val="auto"/>
                <w:shd w:val="clear" w:color="auto" w:fill="FFFFFF"/>
              </w:rPr>
              <w:t xml:space="preserve"> Wednesday to support all of our families but especially those that are disadvantaged. The food market has been a vital lifeline for many people and has allowed us to provide food bags to individuals and families experiencing food insecurity. The increasing necessity for foodbanks reflects broader social and economic challenges that leave many people struggling to afford basic essentials. From</w:t>
            </w:r>
            <w:r w:rsidRPr="00305BB6">
              <w:rPr>
                <w:rFonts w:ascii="Quicksand" w:hAnsi="Quicksand"/>
                <w:color w:val="auto"/>
                <w:sz w:val="23"/>
                <w:szCs w:val="23"/>
                <w:shd w:val="clear" w:color="auto" w:fill="FFFFFF"/>
              </w:rPr>
              <w:t xml:space="preserve"> </w:t>
            </w:r>
            <w:r w:rsidRPr="00305BB6">
              <w:rPr>
                <w:rFonts w:cs="Arial"/>
                <w:color w:val="auto"/>
                <w:shd w:val="clear" w:color="auto" w:fill="FFFFFF"/>
              </w:rPr>
              <w:t>rising living costs to gaps in the welfare system, foodbanks play a critical role in addressing the immediate needs of those in crisis. We are proud to have helped our families in this way.</w:t>
            </w:r>
          </w:p>
          <w:p w14:paraId="28C1653D" w14:textId="6C89B187" w:rsidR="00D20459" w:rsidRPr="00F76202" w:rsidRDefault="00F76202" w:rsidP="009B7433">
            <w:pPr>
              <w:rPr>
                <w:color w:val="auto"/>
              </w:rPr>
            </w:pPr>
            <w:r>
              <w:rPr>
                <w:color w:val="000000"/>
              </w:rPr>
              <w:t>Two c</w:t>
            </w:r>
            <w:r w:rsidR="0045709C">
              <w:rPr>
                <w:color w:val="000000"/>
              </w:rPr>
              <w:t xml:space="preserve">hildren </w:t>
            </w:r>
            <w:r w:rsidR="005E6744">
              <w:rPr>
                <w:color w:val="000000"/>
              </w:rPr>
              <w:t xml:space="preserve">that were eligible for the Pupil Premium Grant were </w:t>
            </w:r>
            <w:r w:rsidR="00305BB6">
              <w:rPr>
                <w:color w:val="000000"/>
              </w:rPr>
              <w:t xml:space="preserve">discretely </w:t>
            </w:r>
            <w:r w:rsidR="0045709C">
              <w:rPr>
                <w:color w:val="000000"/>
              </w:rPr>
              <w:t>provided with weekly food bags</w:t>
            </w:r>
            <w:r w:rsidR="00305BB6">
              <w:rPr>
                <w:color w:val="000000"/>
              </w:rPr>
              <w:t xml:space="preserve"> from our food market</w:t>
            </w:r>
            <w:r w:rsidR="0045709C">
              <w:rPr>
                <w:color w:val="000000"/>
              </w:rPr>
              <w:t>.</w:t>
            </w:r>
            <w:r w:rsidR="005E6744">
              <w:rPr>
                <w:color w:val="000000"/>
              </w:rPr>
              <w:t xml:space="preserve"> These included varied sources of carbohydrates as well as fresh fruits, vegetable</w:t>
            </w:r>
            <w:r>
              <w:rPr>
                <w:color w:val="000000"/>
              </w:rPr>
              <w:t>s</w:t>
            </w:r>
            <w:r w:rsidR="005E6744">
              <w:rPr>
                <w:color w:val="000000"/>
              </w:rPr>
              <w:t xml:space="preserve"> and meat. </w:t>
            </w:r>
            <w:r>
              <w:rPr>
                <w:color w:val="000000"/>
              </w:rPr>
              <w:t>Some of these families came to rely on the food that was supplied to them and really valued the support that it gave the</w:t>
            </w:r>
            <w:r w:rsidR="007555B9">
              <w:rPr>
                <w:color w:val="000000"/>
              </w:rPr>
              <w:t xml:space="preserve">m both financially and </w:t>
            </w:r>
            <w:r w:rsidR="00305BB6">
              <w:rPr>
                <w:color w:val="000000"/>
              </w:rPr>
              <w:t>with their health and wellbeing.</w:t>
            </w:r>
          </w:p>
          <w:p w14:paraId="57752CB0" w14:textId="58125C48" w:rsidR="00D20459" w:rsidRPr="004B579E" w:rsidRDefault="00D20459" w:rsidP="009B7433">
            <w:pPr>
              <w:rPr>
                <w:color w:val="000000"/>
                <w:u w:val="single"/>
              </w:rPr>
            </w:pPr>
            <w:r w:rsidRPr="004B579E">
              <w:rPr>
                <w:color w:val="000000"/>
                <w:u w:val="single"/>
              </w:rPr>
              <w:t>Breakfast and After School Club</w:t>
            </w:r>
          </w:p>
          <w:p w14:paraId="5EFF48E6" w14:textId="34114338" w:rsidR="00D20459" w:rsidRPr="00F76202" w:rsidRDefault="00F76202" w:rsidP="009B7433">
            <w:pPr>
              <w:rPr>
                <w:color w:val="auto"/>
              </w:rPr>
            </w:pPr>
            <w:r w:rsidRPr="00F76202">
              <w:rPr>
                <w:color w:val="auto"/>
              </w:rPr>
              <w:t>From September 2024 – July 2025, 3 free spaces for breakfast club and after school club were given to children that attended Elmwood Infant School. Of the 3, 2 of them were children eligible for the Pupil Premium Grant. Free spaces were also given to their siblings that attended the junior school to further support the family as a whole.</w:t>
            </w:r>
          </w:p>
          <w:p w14:paraId="5023926C" w14:textId="521DBE30" w:rsidR="0064167B" w:rsidRPr="002F4C6F" w:rsidRDefault="0064167B" w:rsidP="00242093">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59CAB70" w:rsidR="00E66558" w:rsidRDefault="00230836" w:rsidP="00F54FCB">
            <w:pPr>
              <w:pStyle w:val="TableRow"/>
              <w:ind w:left="0" w:right="0"/>
            </w:pPr>
            <w:r>
              <w:t>Play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E29ED2F" w:rsidR="00E66558" w:rsidRDefault="00230836" w:rsidP="00F54FCB">
            <w:pPr>
              <w:pStyle w:val="TableRowCentered"/>
              <w:ind w:left="0" w:right="0"/>
              <w:jc w:val="left"/>
            </w:pPr>
            <w:r>
              <w:t>Victory Play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FC61B64" w:rsidR="00E66558" w:rsidRDefault="00EE6C7E" w:rsidP="00F54FCB">
            <w:pPr>
              <w:pStyle w:val="TableRow"/>
              <w:ind w:left="0" w:right="0"/>
            </w:pPr>
            <w:r>
              <w:t>Speech Bubbles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6B4CE55D" w:rsidR="00E66558" w:rsidRDefault="00EE6C7E" w:rsidP="00F54FCB">
            <w:pPr>
              <w:pStyle w:val="TableRowCentered"/>
              <w:ind w:left="0" w:right="0"/>
              <w:jc w:val="left"/>
            </w:pPr>
            <w:r>
              <w:t>Speech Bubbles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2E468D95" w:rsidR="0008384B" w:rsidRPr="0008384B" w:rsidRDefault="0008384B" w:rsidP="0008384B">
      <w:pPr>
        <w:pStyle w:val="Heading2"/>
      </w:pPr>
    </w:p>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32"/>
      <w:footerReference w:type="default" r:id="rId3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icksa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EC55DEA"/>
    <w:multiLevelType w:val="hybridMultilevel"/>
    <w:tmpl w:val="6B4A53AC"/>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0D56DD6"/>
    <w:multiLevelType w:val="hybridMultilevel"/>
    <w:tmpl w:val="0FC08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6741790"/>
    <w:multiLevelType w:val="hybridMultilevel"/>
    <w:tmpl w:val="5886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0"/>
  </w:num>
  <w:num w:numId="6">
    <w:abstractNumId w:val="9"/>
  </w:num>
  <w:num w:numId="7">
    <w:abstractNumId w:val="13"/>
  </w:num>
  <w:num w:numId="8">
    <w:abstractNumId w:val="18"/>
  </w:num>
  <w:num w:numId="9">
    <w:abstractNumId w:val="16"/>
  </w:num>
  <w:num w:numId="10">
    <w:abstractNumId w:val="14"/>
  </w:num>
  <w:num w:numId="11">
    <w:abstractNumId w:val="4"/>
  </w:num>
  <w:num w:numId="12">
    <w:abstractNumId w:val="17"/>
  </w:num>
  <w:num w:numId="13">
    <w:abstractNumId w:val="12"/>
  </w:num>
  <w:num w:numId="14">
    <w:abstractNumId w:val="10"/>
  </w:num>
  <w:num w:numId="15">
    <w:abstractNumId w:val="2"/>
  </w:num>
  <w:num w:numId="16">
    <w:abstractNumId w:val="1"/>
  </w:num>
  <w:num w:numId="17">
    <w:abstractNumId w:val="11"/>
  </w:num>
  <w:num w:numId="18">
    <w:abstractNumId w:val="19"/>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3340"/>
    <w:rsid w:val="00155944"/>
    <w:rsid w:val="001559D7"/>
    <w:rsid w:val="00156122"/>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C28A8"/>
    <w:rsid w:val="001D4FC9"/>
    <w:rsid w:val="001E0ECA"/>
    <w:rsid w:val="001E206F"/>
    <w:rsid w:val="001E5750"/>
    <w:rsid w:val="001E66BA"/>
    <w:rsid w:val="001E7739"/>
    <w:rsid w:val="001F3DB4"/>
    <w:rsid w:val="001F4523"/>
    <w:rsid w:val="001F7564"/>
    <w:rsid w:val="00203DB9"/>
    <w:rsid w:val="00204F40"/>
    <w:rsid w:val="00205DEF"/>
    <w:rsid w:val="002112C3"/>
    <w:rsid w:val="002131E5"/>
    <w:rsid w:val="00216C8A"/>
    <w:rsid w:val="00221F6D"/>
    <w:rsid w:val="00226317"/>
    <w:rsid w:val="00230836"/>
    <w:rsid w:val="00231539"/>
    <w:rsid w:val="002319B5"/>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14EA"/>
    <w:rsid w:val="002F4C6F"/>
    <w:rsid w:val="002F5011"/>
    <w:rsid w:val="002F5842"/>
    <w:rsid w:val="002F7847"/>
    <w:rsid w:val="00301BF4"/>
    <w:rsid w:val="00305BB6"/>
    <w:rsid w:val="00306CB7"/>
    <w:rsid w:val="00307ABF"/>
    <w:rsid w:val="003111F5"/>
    <w:rsid w:val="00317664"/>
    <w:rsid w:val="0032353A"/>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7B5"/>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3E6EE9"/>
    <w:rsid w:val="003F5C58"/>
    <w:rsid w:val="004044AA"/>
    <w:rsid w:val="004044C8"/>
    <w:rsid w:val="00404F3F"/>
    <w:rsid w:val="00410B5D"/>
    <w:rsid w:val="00413BEC"/>
    <w:rsid w:val="00420487"/>
    <w:rsid w:val="0042265E"/>
    <w:rsid w:val="00424ED7"/>
    <w:rsid w:val="00425258"/>
    <w:rsid w:val="00426217"/>
    <w:rsid w:val="00431A80"/>
    <w:rsid w:val="00433641"/>
    <w:rsid w:val="00435A89"/>
    <w:rsid w:val="00441F2B"/>
    <w:rsid w:val="004426D5"/>
    <w:rsid w:val="00447E7B"/>
    <w:rsid w:val="00452267"/>
    <w:rsid w:val="00453307"/>
    <w:rsid w:val="00454EE1"/>
    <w:rsid w:val="00455A02"/>
    <w:rsid w:val="0045709C"/>
    <w:rsid w:val="00457E36"/>
    <w:rsid w:val="00460BD3"/>
    <w:rsid w:val="00462F8F"/>
    <w:rsid w:val="004708F2"/>
    <w:rsid w:val="004724DE"/>
    <w:rsid w:val="004770FE"/>
    <w:rsid w:val="004811F4"/>
    <w:rsid w:val="0048157F"/>
    <w:rsid w:val="00481D56"/>
    <w:rsid w:val="00484C2E"/>
    <w:rsid w:val="00490408"/>
    <w:rsid w:val="004A4C45"/>
    <w:rsid w:val="004A55C4"/>
    <w:rsid w:val="004B0485"/>
    <w:rsid w:val="004B0ED7"/>
    <w:rsid w:val="004B1F58"/>
    <w:rsid w:val="004B428E"/>
    <w:rsid w:val="004B4D0A"/>
    <w:rsid w:val="004B4D37"/>
    <w:rsid w:val="004B579E"/>
    <w:rsid w:val="004C1107"/>
    <w:rsid w:val="004C42F0"/>
    <w:rsid w:val="004D50C8"/>
    <w:rsid w:val="004D6B72"/>
    <w:rsid w:val="004E1D73"/>
    <w:rsid w:val="004E5450"/>
    <w:rsid w:val="004E57C3"/>
    <w:rsid w:val="004E72DD"/>
    <w:rsid w:val="004E7867"/>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6645D"/>
    <w:rsid w:val="005702D2"/>
    <w:rsid w:val="00573E1D"/>
    <w:rsid w:val="005750E2"/>
    <w:rsid w:val="0058313F"/>
    <w:rsid w:val="00585859"/>
    <w:rsid w:val="00586FBC"/>
    <w:rsid w:val="005879C9"/>
    <w:rsid w:val="00594CAD"/>
    <w:rsid w:val="00594F7B"/>
    <w:rsid w:val="005A1D0B"/>
    <w:rsid w:val="005A3C6B"/>
    <w:rsid w:val="005A4BAE"/>
    <w:rsid w:val="005B1EA5"/>
    <w:rsid w:val="005C0BBD"/>
    <w:rsid w:val="005C54A0"/>
    <w:rsid w:val="005D0D15"/>
    <w:rsid w:val="005D13FF"/>
    <w:rsid w:val="005D7176"/>
    <w:rsid w:val="005E18CB"/>
    <w:rsid w:val="005E1F24"/>
    <w:rsid w:val="005E3667"/>
    <w:rsid w:val="005E6744"/>
    <w:rsid w:val="005E73F1"/>
    <w:rsid w:val="005F07EF"/>
    <w:rsid w:val="005F16B6"/>
    <w:rsid w:val="005F2600"/>
    <w:rsid w:val="005F5224"/>
    <w:rsid w:val="005F7AA1"/>
    <w:rsid w:val="00600B2E"/>
    <w:rsid w:val="00601122"/>
    <w:rsid w:val="00606521"/>
    <w:rsid w:val="00607CEB"/>
    <w:rsid w:val="00613299"/>
    <w:rsid w:val="0061762D"/>
    <w:rsid w:val="00625913"/>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15629"/>
    <w:rsid w:val="00721B51"/>
    <w:rsid w:val="00722CB3"/>
    <w:rsid w:val="00724594"/>
    <w:rsid w:val="00724FA7"/>
    <w:rsid w:val="00725415"/>
    <w:rsid w:val="007262CC"/>
    <w:rsid w:val="007273F3"/>
    <w:rsid w:val="00727505"/>
    <w:rsid w:val="00731581"/>
    <w:rsid w:val="0073481D"/>
    <w:rsid w:val="00741B9E"/>
    <w:rsid w:val="00743DAC"/>
    <w:rsid w:val="007455B3"/>
    <w:rsid w:val="007502CD"/>
    <w:rsid w:val="00752AE7"/>
    <w:rsid w:val="00752D3B"/>
    <w:rsid w:val="0075337B"/>
    <w:rsid w:val="007555B9"/>
    <w:rsid w:val="00755CD4"/>
    <w:rsid w:val="00757F96"/>
    <w:rsid w:val="007610B5"/>
    <w:rsid w:val="007623CB"/>
    <w:rsid w:val="00762652"/>
    <w:rsid w:val="00764551"/>
    <w:rsid w:val="0076556F"/>
    <w:rsid w:val="007677B8"/>
    <w:rsid w:val="007702A8"/>
    <w:rsid w:val="00777823"/>
    <w:rsid w:val="00781713"/>
    <w:rsid w:val="00785285"/>
    <w:rsid w:val="0078529D"/>
    <w:rsid w:val="00785E77"/>
    <w:rsid w:val="0078720B"/>
    <w:rsid w:val="00787DC1"/>
    <w:rsid w:val="00790EBE"/>
    <w:rsid w:val="00794070"/>
    <w:rsid w:val="0079664F"/>
    <w:rsid w:val="007A63CA"/>
    <w:rsid w:val="007A713B"/>
    <w:rsid w:val="007A7DA0"/>
    <w:rsid w:val="007B64E5"/>
    <w:rsid w:val="007C1D2C"/>
    <w:rsid w:val="007C2F04"/>
    <w:rsid w:val="007C63BD"/>
    <w:rsid w:val="007C6743"/>
    <w:rsid w:val="007D4779"/>
    <w:rsid w:val="007F06E5"/>
    <w:rsid w:val="007F5B8B"/>
    <w:rsid w:val="00805BC0"/>
    <w:rsid w:val="00807A81"/>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379ED"/>
    <w:rsid w:val="009413AA"/>
    <w:rsid w:val="00941DA3"/>
    <w:rsid w:val="00942C0C"/>
    <w:rsid w:val="00951711"/>
    <w:rsid w:val="009539E3"/>
    <w:rsid w:val="00954083"/>
    <w:rsid w:val="00954A5E"/>
    <w:rsid w:val="009551B2"/>
    <w:rsid w:val="0096022C"/>
    <w:rsid w:val="009619B1"/>
    <w:rsid w:val="00964625"/>
    <w:rsid w:val="00965B57"/>
    <w:rsid w:val="00970EE7"/>
    <w:rsid w:val="00980937"/>
    <w:rsid w:val="00981C1D"/>
    <w:rsid w:val="0099109C"/>
    <w:rsid w:val="009936DB"/>
    <w:rsid w:val="00993CFC"/>
    <w:rsid w:val="009A0ACF"/>
    <w:rsid w:val="009A1DC2"/>
    <w:rsid w:val="009A5EEA"/>
    <w:rsid w:val="009A7519"/>
    <w:rsid w:val="009B0906"/>
    <w:rsid w:val="009B38F2"/>
    <w:rsid w:val="009B66A0"/>
    <w:rsid w:val="009B7433"/>
    <w:rsid w:val="009C0914"/>
    <w:rsid w:val="009C27E5"/>
    <w:rsid w:val="009D173D"/>
    <w:rsid w:val="009D24A1"/>
    <w:rsid w:val="009D3891"/>
    <w:rsid w:val="009D71E8"/>
    <w:rsid w:val="009E0CF5"/>
    <w:rsid w:val="009E104B"/>
    <w:rsid w:val="009E14A3"/>
    <w:rsid w:val="009E7DE4"/>
    <w:rsid w:val="009F3BBD"/>
    <w:rsid w:val="00A022AB"/>
    <w:rsid w:val="00A042B9"/>
    <w:rsid w:val="00A063DD"/>
    <w:rsid w:val="00A112B5"/>
    <w:rsid w:val="00A14EEA"/>
    <w:rsid w:val="00A33636"/>
    <w:rsid w:val="00A34ADD"/>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4E0F"/>
    <w:rsid w:val="00A852F2"/>
    <w:rsid w:val="00A8712A"/>
    <w:rsid w:val="00A95F75"/>
    <w:rsid w:val="00A968DA"/>
    <w:rsid w:val="00A96B83"/>
    <w:rsid w:val="00AA355B"/>
    <w:rsid w:val="00AA42E5"/>
    <w:rsid w:val="00AB24FA"/>
    <w:rsid w:val="00AB2FEA"/>
    <w:rsid w:val="00AB5161"/>
    <w:rsid w:val="00AD7B5A"/>
    <w:rsid w:val="00AE229F"/>
    <w:rsid w:val="00AF0618"/>
    <w:rsid w:val="00AF5E20"/>
    <w:rsid w:val="00B002FA"/>
    <w:rsid w:val="00B00327"/>
    <w:rsid w:val="00B024B3"/>
    <w:rsid w:val="00B11DE8"/>
    <w:rsid w:val="00B179ED"/>
    <w:rsid w:val="00B20E18"/>
    <w:rsid w:val="00B30A26"/>
    <w:rsid w:val="00B331E1"/>
    <w:rsid w:val="00B4532A"/>
    <w:rsid w:val="00B47C66"/>
    <w:rsid w:val="00B572C4"/>
    <w:rsid w:val="00B60858"/>
    <w:rsid w:val="00B60D69"/>
    <w:rsid w:val="00B6234E"/>
    <w:rsid w:val="00B74D4E"/>
    <w:rsid w:val="00B80219"/>
    <w:rsid w:val="00B82F84"/>
    <w:rsid w:val="00B87184"/>
    <w:rsid w:val="00B91453"/>
    <w:rsid w:val="00BA1302"/>
    <w:rsid w:val="00BA19A5"/>
    <w:rsid w:val="00BA2A97"/>
    <w:rsid w:val="00BB2907"/>
    <w:rsid w:val="00BB6902"/>
    <w:rsid w:val="00BC078B"/>
    <w:rsid w:val="00BC3A7D"/>
    <w:rsid w:val="00BC67F6"/>
    <w:rsid w:val="00BD2004"/>
    <w:rsid w:val="00BD4B12"/>
    <w:rsid w:val="00BD700D"/>
    <w:rsid w:val="00BE2F92"/>
    <w:rsid w:val="00BE44AC"/>
    <w:rsid w:val="00BF0D5F"/>
    <w:rsid w:val="00BF30FC"/>
    <w:rsid w:val="00BF3282"/>
    <w:rsid w:val="00BF59B3"/>
    <w:rsid w:val="00BF6F95"/>
    <w:rsid w:val="00C10BCF"/>
    <w:rsid w:val="00C11EB4"/>
    <w:rsid w:val="00C12746"/>
    <w:rsid w:val="00C13756"/>
    <w:rsid w:val="00C137CE"/>
    <w:rsid w:val="00C23C11"/>
    <w:rsid w:val="00C2441E"/>
    <w:rsid w:val="00C25827"/>
    <w:rsid w:val="00C31636"/>
    <w:rsid w:val="00C31BB8"/>
    <w:rsid w:val="00C362C2"/>
    <w:rsid w:val="00C373EA"/>
    <w:rsid w:val="00C43CA3"/>
    <w:rsid w:val="00C43D9D"/>
    <w:rsid w:val="00C43EA4"/>
    <w:rsid w:val="00C50040"/>
    <w:rsid w:val="00C52DFF"/>
    <w:rsid w:val="00C55D61"/>
    <w:rsid w:val="00C574E1"/>
    <w:rsid w:val="00C621C1"/>
    <w:rsid w:val="00C62989"/>
    <w:rsid w:val="00C65CBB"/>
    <w:rsid w:val="00C74684"/>
    <w:rsid w:val="00C77FEF"/>
    <w:rsid w:val="00C80F37"/>
    <w:rsid w:val="00C83659"/>
    <w:rsid w:val="00C839C1"/>
    <w:rsid w:val="00C97A7F"/>
    <w:rsid w:val="00CA4421"/>
    <w:rsid w:val="00CA5363"/>
    <w:rsid w:val="00CA7D07"/>
    <w:rsid w:val="00CB0946"/>
    <w:rsid w:val="00CB24A4"/>
    <w:rsid w:val="00CB4E5F"/>
    <w:rsid w:val="00CB5B17"/>
    <w:rsid w:val="00CB6AA0"/>
    <w:rsid w:val="00CC4443"/>
    <w:rsid w:val="00CC5CAF"/>
    <w:rsid w:val="00CD1C8D"/>
    <w:rsid w:val="00CD5E2C"/>
    <w:rsid w:val="00CD7658"/>
    <w:rsid w:val="00CE7E1B"/>
    <w:rsid w:val="00D04F25"/>
    <w:rsid w:val="00D06874"/>
    <w:rsid w:val="00D07530"/>
    <w:rsid w:val="00D07FCB"/>
    <w:rsid w:val="00D173F7"/>
    <w:rsid w:val="00D20203"/>
    <w:rsid w:val="00D20459"/>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774E2"/>
    <w:rsid w:val="00D81325"/>
    <w:rsid w:val="00D875ED"/>
    <w:rsid w:val="00D877D0"/>
    <w:rsid w:val="00D90013"/>
    <w:rsid w:val="00D91B9C"/>
    <w:rsid w:val="00D92C1B"/>
    <w:rsid w:val="00D94CC7"/>
    <w:rsid w:val="00D96FB3"/>
    <w:rsid w:val="00D97901"/>
    <w:rsid w:val="00D97FA8"/>
    <w:rsid w:val="00DA1AF4"/>
    <w:rsid w:val="00DB0C60"/>
    <w:rsid w:val="00DC641A"/>
    <w:rsid w:val="00DD15B2"/>
    <w:rsid w:val="00DD21A1"/>
    <w:rsid w:val="00DD68FB"/>
    <w:rsid w:val="00DD6B7D"/>
    <w:rsid w:val="00DD6E14"/>
    <w:rsid w:val="00DE15AC"/>
    <w:rsid w:val="00DF2015"/>
    <w:rsid w:val="00E061EC"/>
    <w:rsid w:val="00E0696B"/>
    <w:rsid w:val="00E10E81"/>
    <w:rsid w:val="00E13E51"/>
    <w:rsid w:val="00E21F56"/>
    <w:rsid w:val="00E3014F"/>
    <w:rsid w:val="00E321FA"/>
    <w:rsid w:val="00E4286E"/>
    <w:rsid w:val="00E43EAD"/>
    <w:rsid w:val="00E62DCB"/>
    <w:rsid w:val="00E651DD"/>
    <w:rsid w:val="00E66558"/>
    <w:rsid w:val="00E70D81"/>
    <w:rsid w:val="00E726A6"/>
    <w:rsid w:val="00E73418"/>
    <w:rsid w:val="00E8109E"/>
    <w:rsid w:val="00E81589"/>
    <w:rsid w:val="00E85C23"/>
    <w:rsid w:val="00E86668"/>
    <w:rsid w:val="00E86F05"/>
    <w:rsid w:val="00EA3A2A"/>
    <w:rsid w:val="00EA6B46"/>
    <w:rsid w:val="00EB4556"/>
    <w:rsid w:val="00EB4A11"/>
    <w:rsid w:val="00EB64C8"/>
    <w:rsid w:val="00EC5272"/>
    <w:rsid w:val="00ED11C9"/>
    <w:rsid w:val="00ED4136"/>
    <w:rsid w:val="00ED5108"/>
    <w:rsid w:val="00ED6AE8"/>
    <w:rsid w:val="00EE291B"/>
    <w:rsid w:val="00EE2CB2"/>
    <w:rsid w:val="00EE6C7E"/>
    <w:rsid w:val="00EF28F9"/>
    <w:rsid w:val="00EF485B"/>
    <w:rsid w:val="00EF5A6B"/>
    <w:rsid w:val="00F012CA"/>
    <w:rsid w:val="00F01752"/>
    <w:rsid w:val="00F017D2"/>
    <w:rsid w:val="00F0355A"/>
    <w:rsid w:val="00F05C44"/>
    <w:rsid w:val="00F11786"/>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202"/>
    <w:rsid w:val="00F76843"/>
    <w:rsid w:val="00F776E1"/>
    <w:rsid w:val="00F77E8D"/>
    <w:rsid w:val="00F81347"/>
    <w:rsid w:val="00F925EB"/>
    <w:rsid w:val="00F97033"/>
    <w:rsid w:val="00FA6DD0"/>
    <w:rsid w:val="00FB045D"/>
    <w:rsid w:val="00FC28DF"/>
    <w:rsid w:val="00FC4613"/>
    <w:rsid w:val="00FD1780"/>
    <w:rsid w:val="00FD2297"/>
    <w:rsid w:val="00FD406D"/>
    <w:rsid w:val="00FD6AC6"/>
    <w:rsid w:val="00FE3136"/>
    <w:rsid w:val="00FE50A3"/>
    <w:rsid w:val="00FE5204"/>
    <w:rsid w:val="00FE604C"/>
    <w:rsid w:val="00FF04AF"/>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CB4E5F"/>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90135034">
      <w:bodyDiv w:val="1"/>
      <w:marLeft w:val="0"/>
      <w:marRight w:val="0"/>
      <w:marTop w:val="0"/>
      <w:marBottom w:val="0"/>
      <w:divBdr>
        <w:top w:val="none" w:sz="0" w:space="0" w:color="auto"/>
        <w:left w:val="none" w:sz="0" w:space="0" w:color="auto"/>
        <w:bottom w:val="none" w:sz="0" w:space="0" w:color="auto"/>
        <w:right w:val="none" w:sz="0" w:space="0" w:color="auto"/>
      </w:divBdr>
    </w:div>
    <w:div w:id="914819124">
      <w:bodyDiv w:val="1"/>
      <w:marLeft w:val="0"/>
      <w:marRight w:val="0"/>
      <w:marTop w:val="0"/>
      <w:marBottom w:val="0"/>
      <w:divBdr>
        <w:top w:val="none" w:sz="0" w:space="0" w:color="auto"/>
        <w:left w:val="none" w:sz="0" w:space="0" w:color="auto"/>
        <w:bottom w:val="none" w:sz="0" w:space="0" w:color="auto"/>
        <w:right w:val="none" w:sz="0" w:space="0" w:color="auto"/>
      </w:divBdr>
    </w:div>
    <w:div w:id="1323654480">
      <w:bodyDiv w:val="1"/>
      <w:marLeft w:val="0"/>
      <w:marRight w:val="0"/>
      <w:marTop w:val="0"/>
      <w:marBottom w:val="0"/>
      <w:divBdr>
        <w:top w:val="none" w:sz="0" w:space="0" w:color="auto"/>
        <w:left w:val="none" w:sz="0" w:space="0" w:color="auto"/>
        <w:bottom w:val="none" w:sz="0" w:space="0" w:color="auto"/>
        <w:right w:val="none" w:sz="0" w:space="0" w:color="auto"/>
      </w:divBdr>
    </w:div>
    <w:div w:id="1541018990">
      <w:bodyDiv w:val="1"/>
      <w:marLeft w:val="0"/>
      <w:marRight w:val="0"/>
      <w:marTop w:val="0"/>
      <w:marBottom w:val="0"/>
      <w:divBdr>
        <w:top w:val="none" w:sz="0" w:space="0" w:color="auto"/>
        <w:left w:val="none" w:sz="0" w:space="0" w:color="auto"/>
        <w:bottom w:val="none" w:sz="0" w:space="0" w:color="auto"/>
        <w:right w:val="none" w:sz="0" w:space="0" w:color="auto"/>
      </w:divBdr>
      <w:divsChild>
        <w:div w:id="95374377">
          <w:marLeft w:val="0"/>
          <w:marRight w:val="0"/>
          <w:marTop w:val="0"/>
          <w:marBottom w:val="0"/>
          <w:divBdr>
            <w:top w:val="none" w:sz="0" w:space="0" w:color="auto"/>
            <w:left w:val="none" w:sz="0" w:space="0" w:color="auto"/>
            <w:bottom w:val="none" w:sz="0" w:space="0" w:color="auto"/>
            <w:right w:val="none" w:sz="0" w:space="0" w:color="auto"/>
          </w:divBdr>
          <w:divsChild>
            <w:div w:id="1636059948">
              <w:marLeft w:val="0"/>
              <w:marRight w:val="0"/>
              <w:marTop w:val="0"/>
              <w:marBottom w:val="0"/>
              <w:divBdr>
                <w:top w:val="none" w:sz="0" w:space="0" w:color="auto"/>
                <w:left w:val="none" w:sz="0" w:space="0" w:color="auto"/>
                <w:bottom w:val="none" w:sz="0" w:space="0" w:color="auto"/>
                <w:right w:val="none" w:sz="0" w:space="0" w:color="auto"/>
              </w:divBdr>
              <w:divsChild>
                <w:div w:id="903031083">
                  <w:marLeft w:val="0"/>
                  <w:marRight w:val="0"/>
                  <w:marTop w:val="0"/>
                  <w:marBottom w:val="0"/>
                  <w:divBdr>
                    <w:top w:val="none" w:sz="0" w:space="0" w:color="auto"/>
                    <w:left w:val="none" w:sz="0" w:space="0" w:color="auto"/>
                    <w:bottom w:val="none" w:sz="0" w:space="0" w:color="auto"/>
                    <w:right w:val="none" w:sz="0" w:space="0" w:color="auto"/>
                  </w:divBdr>
                  <w:divsChild>
                    <w:div w:id="1568177572">
                      <w:marLeft w:val="0"/>
                      <w:marRight w:val="0"/>
                      <w:marTop w:val="0"/>
                      <w:marBottom w:val="0"/>
                      <w:divBdr>
                        <w:top w:val="none" w:sz="0" w:space="0" w:color="auto"/>
                        <w:left w:val="none" w:sz="0" w:space="0" w:color="auto"/>
                        <w:bottom w:val="none" w:sz="0" w:space="0" w:color="auto"/>
                        <w:right w:val="none" w:sz="0" w:space="0" w:color="auto"/>
                      </w:divBdr>
                      <w:divsChild>
                        <w:div w:id="1228036555">
                          <w:marLeft w:val="0"/>
                          <w:marRight w:val="0"/>
                          <w:marTop w:val="0"/>
                          <w:marBottom w:val="0"/>
                          <w:divBdr>
                            <w:top w:val="none" w:sz="0" w:space="0" w:color="auto"/>
                            <w:left w:val="none" w:sz="0" w:space="0" w:color="auto"/>
                            <w:bottom w:val="none" w:sz="0" w:space="0" w:color="auto"/>
                            <w:right w:val="none" w:sz="0" w:space="0" w:color="auto"/>
                          </w:divBdr>
                          <w:divsChild>
                            <w:div w:id="1909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871103">
      <w:bodyDiv w:val="1"/>
      <w:marLeft w:val="0"/>
      <w:marRight w:val="0"/>
      <w:marTop w:val="0"/>
      <w:marBottom w:val="0"/>
      <w:divBdr>
        <w:top w:val="none" w:sz="0" w:space="0" w:color="auto"/>
        <w:left w:val="none" w:sz="0" w:space="0" w:color="auto"/>
        <w:bottom w:val="none" w:sz="0" w:space="0" w:color="auto"/>
        <w:right w:val="none" w:sz="0" w:space="0" w:color="auto"/>
      </w:divBdr>
    </w:div>
    <w:div w:id="195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effective-professional-development" TargetMode="External"/><Relationship Id="rId18" Type="http://schemas.openxmlformats.org/officeDocument/2006/relationships/hyperlink" Target="https://educationendowmentfoundation.org.uk/support-for-schools/school-planning-support/2-targeted-academic-support" TargetMode="External"/><Relationship Id="rId26" Type="http://schemas.openxmlformats.org/officeDocument/2006/relationships/hyperlink" Target="https://www.gov.uk/government/publications/extra-curricular-activities-soft-skills-and-social-mobility/an-unequal-playing-field-extra-curricular-activities-soft-skills-and-social-mobility" TargetMode="External"/><Relationship Id="rId3" Type="http://schemas.openxmlformats.org/officeDocument/2006/relationships/styles" Target="styles.xml"/><Relationship Id="rId21" Type="http://schemas.openxmlformats.org/officeDocument/2006/relationships/hyperlink" Target="https://www.gov.uk/government/publications/school-attendance/framework-for-securing-full-attendance-actions-for-schools-and-local-authorit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ionendowmentfoundation.org.uk/news/moving-from-differentiation-to-adaptive-teaching" TargetMode="External"/><Relationship Id="rId17" Type="http://schemas.openxmlformats.org/officeDocument/2006/relationships/hyperlink" Target="https://educationendowmentfoundation.org.uk/early-years/toolkit/communication-and-language-approaches" TargetMode="External"/><Relationship Id="rId25" Type="http://schemas.openxmlformats.org/officeDocument/2006/relationships/hyperlink" Target="https://educationendowmentfoundation.org.uk/education-evidence/teaching-learning-toolkit/parental-engageme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choosing-a-phonics-teaching-programme/list-of-phonics-teaching-programmes" TargetMode="External"/><Relationship Id="rId20" Type="http://schemas.openxmlformats.org/officeDocument/2006/relationships/hyperlink" Target="https://educationendowmentfoundation.org.uk/education-evidence/teaching-learning-toolkit/teaching-assistant-interventions"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teaching-assistants" TargetMode="External"/><Relationship Id="rId24" Type="http://schemas.openxmlformats.org/officeDocument/2006/relationships/hyperlink" Target="https://playtherapy.org.u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teracytree.com/" TargetMode="External"/><Relationship Id="rId23" Type="http://schemas.openxmlformats.org/officeDocument/2006/relationships/hyperlink" Target="https://www.elsanetwork.org/about/" TargetMode="External"/><Relationship Id="rId28" Type="http://schemas.openxmlformats.org/officeDocument/2006/relationships/hyperlink" Target="https://www.trussell.org.uk/" TargetMode="External"/><Relationship Id="rId10" Type="http://schemas.openxmlformats.org/officeDocument/2006/relationships/hyperlink" Target="https://educationendowmentfoundation.org.uk/education-evidence/teaching-learning-toolkit/teaching-assistant-interventions" TargetMode="External"/><Relationship Id="rId19" Type="http://schemas.openxmlformats.org/officeDocument/2006/relationships/hyperlink" Target="https://educationendowmentfoundation.org.uk/education-evidence/teaching-learning-toolkit/oral-language-interventions"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educationendowmentfoundation.org.uk/support-for-schools/school-planning-support/1-high-quality-teaching" TargetMode="External"/><Relationship Id="rId22" Type="http://schemas.openxmlformats.org/officeDocument/2006/relationships/hyperlink" Target="https://www.education-ni.gov.uk/articles/nurture-provision-primary-schools" TargetMode="External"/><Relationship Id="rId27" Type="http://schemas.openxmlformats.org/officeDocument/2006/relationships/hyperlink" Target="https://educationendowmentfoundation.org.uk/education-evidence/teaching-learning-toolkit/physical-activity"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hyperlink" Target="https://educationendowmentfoundation.org.uk/evidence-summaries/teaching-learning-toolkit/pho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A26B-E0ED-4CF8-A4F5-DB207844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Aisha Samuels</cp:lastModifiedBy>
  <cp:revision>3</cp:revision>
  <cp:lastPrinted>2025-11-20T15:45:00Z</cp:lastPrinted>
  <dcterms:created xsi:type="dcterms:W3CDTF">2025-12-10T14:57:00Z</dcterms:created>
  <dcterms:modified xsi:type="dcterms:W3CDTF">2025-12-10T16:01:00Z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